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04383" w14:textId="6CD9174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207BB6">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8B2163">
        <w:rPr>
          <w:sz w:val="32"/>
          <w:szCs w:val="32"/>
        </w:rPr>
        <w:t>20</w:t>
      </w:r>
      <w:r w:rsidR="006E4D6E">
        <w:rPr>
          <w:sz w:val="32"/>
          <w:szCs w:val="32"/>
        </w:rPr>
        <w:t>01084</w:t>
      </w:r>
    </w:p>
    <w:p w14:paraId="074AC0F9" w14:textId="77777777" w:rsidR="00207BB6" w:rsidRPr="00207BB6" w:rsidRDefault="00207BB6" w:rsidP="00207BB6">
      <w:pPr>
        <w:tabs>
          <w:tab w:val="center" w:pos="4536"/>
          <w:tab w:val="right" w:pos="9072"/>
        </w:tabs>
        <w:rPr>
          <w:rFonts w:ascii="Arial" w:eastAsia="MS Mincho" w:hAnsi="Arial" w:cs="Arial"/>
          <w:b/>
          <w:bCs/>
          <w:sz w:val="24"/>
          <w:szCs w:val="18"/>
        </w:rPr>
      </w:pPr>
      <w:r w:rsidRPr="00207BB6">
        <w:rPr>
          <w:rFonts w:ascii="Arial" w:eastAsia="MS Mincho" w:hAnsi="Arial" w:cs="Arial"/>
          <w:b/>
          <w:bCs/>
          <w:sz w:val="24"/>
          <w:szCs w:val="18"/>
        </w:rPr>
        <w:t>e-Meeting, February 24</w:t>
      </w:r>
      <w:r w:rsidRPr="00207BB6">
        <w:rPr>
          <w:rFonts w:ascii="Arial" w:eastAsia="MS Mincho" w:hAnsi="Arial" w:cs="Arial"/>
          <w:b/>
          <w:bCs/>
          <w:sz w:val="24"/>
          <w:szCs w:val="18"/>
          <w:vertAlign w:val="superscript"/>
        </w:rPr>
        <w:t>th</w:t>
      </w:r>
      <w:r w:rsidRPr="00207BB6">
        <w:rPr>
          <w:rFonts w:ascii="Arial" w:eastAsia="MS Mincho" w:hAnsi="Arial" w:cs="Arial"/>
          <w:b/>
          <w:bCs/>
          <w:sz w:val="24"/>
          <w:szCs w:val="18"/>
        </w:rPr>
        <w:t xml:space="preserve"> – March 6</w:t>
      </w:r>
      <w:r w:rsidRPr="00207BB6">
        <w:rPr>
          <w:rFonts w:ascii="Arial" w:eastAsia="MS Mincho" w:hAnsi="Arial" w:cs="Arial"/>
          <w:b/>
          <w:bCs/>
          <w:sz w:val="24"/>
          <w:szCs w:val="18"/>
          <w:vertAlign w:val="superscript"/>
        </w:rPr>
        <w:t>th</w:t>
      </w:r>
      <w:r w:rsidRPr="00207BB6">
        <w:rPr>
          <w:rFonts w:ascii="Arial" w:eastAsia="MS Mincho" w:hAnsi="Arial" w:cs="Arial"/>
          <w:b/>
          <w:bCs/>
          <w:sz w:val="24"/>
          <w:szCs w:val="18"/>
        </w:rPr>
        <w:t>, 2020</w:t>
      </w:r>
    </w:p>
    <w:p w14:paraId="59D9D5C4" w14:textId="77777777" w:rsidR="00E90E49" w:rsidRPr="00CE0424" w:rsidRDefault="00E90E49" w:rsidP="00357380">
      <w:pPr>
        <w:pStyle w:val="3GPPHeader"/>
      </w:pPr>
    </w:p>
    <w:p w14:paraId="14EA9AB8" w14:textId="45A36821" w:rsidR="00E90E49" w:rsidRPr="008C3D76" w:rsidRDefault="00E90E49" w:rsidP="00311702">
      <w:pPr>
        <w:pStyle w:val="3GPPHeader"/>
        <w:rPr>
          <w:sz w:val="22"/>
          <w:szCs w:val="22"/>
          <w:lang w:val="en-US"/>
        </w:rPr>
      </w:pPr>
      <w:r w:rsidRPr="008C3D76">
        <w:rPr>
          <w:sz w:val="22"/>
          <w:szCs w:val="22"/>
          <w:lang w:val="en-US"/>
        </w:rPr>
        <w:t>Agenda Item:</w:t>
      </w:r>
      <w:r w:rsidRPr="008C3D76">
        <w:rPr>
          <w:sz w:val="22"/>
          <w:szCs w:val="22"/>
          <w:lang w:val="en-US"/>
        </w:rPr>
        <w:tab/>
      </w:r>
      <w:r w:rsidR="007821E0" w:rsidRPr="008C3D76">
        <w:rPr>
          <w:sz w:val="22"/>
          <w:szCs w:val="22"/>
          <w:lang w:val="en-US"/>
        </w:rPr>
        <w:t>5</w:t>
      </w:r>
    </w:p>
    <w:p w14:paraId="073E48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B705786" w14:textId="2B103826" w:rsidR="00E90E49" w:rsidRPr="00CE0424" w:rsidRDefault="003D3C45" w:rsidP="00311702">
      <w:pPr>
        <w:pStyle w:val="3GPPHeader"/>
        <w:rPr>
          <w:sz w:val="22"/>
          <w:szCs w:val="22"/>
        </w:rPr>
      </w:pPr>
      <w:r>
        <w:rPr>
          <w:sz w:val="22"/>
          <w:szCs w:val="22"/>
        </w:rPr>
        <w:t>Title:</w:t>
      </w:r>
      <w:r w:rsidR="00E90E49" w:rsidRPr="00CE0424">
        <w:rPr>
          <w:sz w:val="22"/>
          <w:szCs w:val="22"/>
        </w:rPr>
        <w:tab/>
      </w:r>
      <w:r w:rsidR="007821E0">
        <w:rPr>
          <w:sz w:val="22"/>
          <w:szCs w:val="22"/>
        </w:rPr>
        <w:t xml:space="preserve">On </w:t>
      </w:r>
      <w:r w:rsidR="008C3D76">
        <w:rPr>
          <w:sz w:val="22"/>
          <w:szCs w:val="22"/>
        </w:rPr>
        <w:t>secondary</w:t>
      </w:r>
      <w:r w:rsidR="007821E0">
        <w:rPr>
          <w:sz w:val="22"/>
          <w:szCs w:val="22"/>
        </w:rPr>
        <w:t xml:space="preserve"> DRX</w:t>
      </w:r>
      <w:r w:rsidR="00041CA5">
        <w:rPr>
          <w:sz w:val="22"/>
          <w:szCs w:val="22"/>
        </w:rPr>
        <w:t xml:space="preserve"> group</w:t>
      </w:r>
    </w:p>
    <w:p w14:paraId="1FDAA7A4" w14:textId="714338C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821E0">
        <w:rPr>
          <w:sz w:val="22"/>
          <w:szCs w:val="22"/>
        </w:rPr>
        <w:t>Discussion</w:t>
      </w:r>
    </w:p>
    <w:p w14:paraId="225E1114" w14:textId="77777777" w:rsidR="00E90E49" w:rsidRPr="00CE0424" w:rsidRDefault="00E90E49" w:rsidP="00E90E49"/>
    <w:p w14:paraId="0DC1DF38" w14:textId="3AE50DD8" w:rsidR="00E90E49" w:rsidRDefault="00230D18" w:rsidP="00CE0424">
      <w:pPr>
        <w:pStyle w:val="Heading1"/>
      </w:pPr>
      <w:r>
        <w:t>1</w:t>
      </w:r>
      <w:r>
        <w:tab/>
      </w:r>
      <w:r w:rsidR="00E90E49" w:rsidRPr="00CE0424">
        <w:t>Introduction</w:t>
      </w:r>
    </w:p>
    <w:p w14:paraId="4E94B764" w14:textId="61A90C88" w:rsidR="007D71AD" w:rsidRDefault="007D71AD" w:rsidP="007D71AD">
      <w:pPr>
        <w:pStyle w:val="BodyText"/>
      </w:pPr>
      <w:r>
        <w:t>RAN2 discussed introduction of a secondary DRX group with Carrier Aggregation in NR during RAN2#108 and made the following conditional agreements:</w:t>
      </w:r>
    </w:p>
    <w:p w14:paraId="3A4C4F12" w14:textId="77777777" w:rsidR="007D71AD" w:rsidRDefault="007D71AD" w:rsidP="007D71AD">
      <w:pPr>
        <w:pStyle w:val="Doc-text2"/>
        <w:ind w:left="723"/>
        <w:rPr>
          <w:rFonts w:ascii="Times New Roman" w:hAnsi="Times New Roman"/>
          <w:b/>
          <w:color w:val="C45911" w:themeColor="accent2" w:themeShade="BF"/>
          <w:lang w:val="en-GB" w:eastAsia="zh-CN"/>
        </w:rPr>
      </w:pPr>
      <w:r>
        <w:rPr>
          <w:rFonts w:ascii="Times New Roman" w:hAnsi="Times New Roman"/>
          <w:b/>
          <w:color w:val="C45911" w:themeColor="accent2" w:themeShade="BF"/>
          <w:lang w:eastAsia="zh-CN"/>
        </w:rPr>
        <w:t xml:space="preserve">Conditional on R1 acceptance: </w:t>
      </w:r>
    </w:p>
    <w:p w14:paraId="1C8233EB" w14:textId="77777777" w:rsidR="007D71AD" w:rsidRDefault="007D71AD" w:rsidP="007D71AD">
      <w:pPr>
        <w:pStyle w:val="Agreement"/>
        <w:tabs>
          <w:tab w:val="num" w:pos="720"/>
        </w:tabs>
        <w:spacing w:before="0"/>
        <w:ind w:left="720"/>
        <w:rPr>
          <w:rFonts w:ascii="Times New Roman" w:hAnsi="Times New Roman"/>
          <w:color w:val="C45911" w:themeColor="accent2" w:themeShade="BF"/>
          <w:lang w:eastAsia="zh-CN"/>
        </w:rPr>
      </w:pPr>
      <w:r>
        <w:rPr>
          <w:rFonts w:ascii="Times New Roman" w:hAnsi="Times New Roman"/>
          <w:color w:val="C45911" w:themeColor="accent2" w:themeShade="BF"/>
          <w:lang w:eastAsia="zh-CN"/>
        </w:rPr>
        <w:t xml:space="preserve">A separate </w:t>
      </w:r>
      <w:r>
        <w:rPr>
          <w:rFonts w:ascii="Times New Roman" w:eastAsia="Times New Roman" w:hAnsi="Times New Roman"/>
          <w:i/>
          <w:color w:val="C45911" w:themeColor="accent2" w:themeShade="BF"/>
          <w:lang w:eastAsia="zh-CN"/>
        </w:rPr>
        <w:t>drx-InactivityTimer</w:t>
      </w:r>
      <w:r>
        <w:rPr>
          <w:rFonts w:ascii="Times New Roman" w:eastAsia="Times New Roman" w:hAnsi="Times New Roman"/>
          <w:color w:val="C45911" w:themeColor="accent2" w:themeShade="BF"/>
          <w:lang w:eastAsia="zh-CN"/>
        </w:rPr>
        <w:t xml:space="preserve"> and </w:t>
      </w:r>
      <w:r>
        <w:rPr>
          <w:rFonts w:ascii="Times New Roman" w:eastAsia="Times New Roman" w:hAnsi="Times New Roman"/>
          <w:i/>
          <w:color w:val="C45911" w:themeColor="accent2" w:themeShade="BF"/>
          <w:lang w:eastAsia="zh-CN"/>
        </w:rPr>
        <w:t>drx-onDurationTimer</w:t>
      </w:r>
      <w:r>
        <w:rPr>
          <w:rFonts w:ascii="Times New Roman" w:hAnsi="Times New Roman"/>
          <w:color w:val="C45911" w:themeColor="accent2" w:themeShade="BF"/>
          <w:lang w:eastAsia="zh-CN"/>
        </w:rPr>
        <w:t xml:space="preserve"> can be configured for the secondary DRX group. R2 understands that this has zero or almost zero impact in R1 and R4</w:t>
      </w:r>
    </w:p>
    <w:p w14:paraId="4A0E71B2" w14:textId="77777777" w:rsidR="007D71AD" w:rsidRDefault="007D71AD" w:rsidP="007D71AD">
      <w:pPr>
        <w:pStyle w:val="Agreement"/>
        <w:tabs>
          <w:tab w:val="num" w:pos="720"/>
        </w:tabs>
        <w:spacing w:before="0"/>
        <w:ind w:left="720"/>
        <w:rPr>
          <w:rFonts w:ascii="Times New Roman" w:hAnsi="Times New Roman"/>
          <w:color w:val="C45911" w:themeColor="accent2" w:themeShade="BF"/>
          <w:lang w:eastAsia="zh-CN"/>
        </w:rPr>
      </w:pPr>
      <w:r>
        <w:rPr>
          <w:rFonts w:ascii="Times New Roman" w:hAnsi="Times New Roman"/>
          <w:color w:val="C45911" w:themeColor="accent2" w:themeShade="BF"/>
          <w:lang w:eastAsia="zh-CN"/>
        </w:rPr>
        <w:t>The combination of cross-carrier scheduling and secondary DRX group is not supported</w:t>
      </w:r>
    </w:p>
    <w:p w14:paraId="272CA3C4" w14:textId="77777777" w:rsidR="007D71AD" w:rsidRDefault="007D71AD" w:rsidP="007D71AD">
      <w:pPr>
        <w:pStyle w:val="Agreement"/>
        <w:tabs>
          <w:tab w:val="num" w:pos="720"/>
        </w:tabs>
        <w:spacing w:before="0"/>
        <w:ind w:left="720"/>
        <w:rPr>
          <w:rFonts w:ascii="Times New Roman" w:hAnsi="Times New Roman"/>
          <w:color w:val="C45911" w:themeColor="accent2" w:themeShade="BF"/>
          <w:lang w:eastAsia="zh-CN"/>
        </w:rPr>
      </w:pPr>
      <w:r>
        <w:rPr>
          <w:rFonts w:ascii="Times New Roman" w:hAnsi="Times New Roman"/>
          <w:color w:val="C45911" w:themeColor="accent2" w:themeShade="BF"/>
          <w:lang w:eastAsia="zh-CN"/>
        </w:rPr>
        <w:t>FFS if timers for FR2 DRX configuration are shorter than timers for FR1 DRX configuration.</w:t>
      </w:r>
    </w:p>
    <w:p w14:paraId="76935178" w14:textId="77777777" w:rsidR="007D71AD" w:rsidRDefault="007D71AD" w:rsidP="007D71AD">
      <w:pPr>
        <w:pStyle w:val="Agreement"/>
        <w:tabs>
          <w:tab w:val="num" w:pos="720"/>
        </w:tabs>
        <w:spacing w:before="0"/>
        <w:ind w:left="720" w:right="-563"/>
        <w:rPr>
          <w:rFonts w:ascii="Times New Roman" w:hAnsi="Times New Roman"/>
          <w:color w:val="C45911" w:themeColor="accent2" w:themeShade="BF"/>
          <w:lang w:eastAsia="zh-CN"/>
        </w:rPr>
      </w:pPr>
      <w:r>
        <w:rPr>
          <w:rFonts w:ascii="Times New Roman" w:hAnsi="Times New Roman"/>
          <w:color w:val="C45911" w:themeColor="accent2" w:themeShade="BF"/>
          <w:lang w:eastAsia="zh-CN"/>
        </w:rPr>
        <w:t xml:space="preserve">The intention is to apply secondary DRX configuration to FR2 and existing DRX configuration to FR1 </w:t>
      </w:r>
    </w:p>
    <w:p w14:paraId="0CA95C70" w14:textId="77777777" w:rsidR="007D71AD" w:rsidRDefault="007D71AD" w:rsidP="007D71AD">
      <w:pPr>
        <w:pStyle w:val="Agreement"/>
        <w:tabs>
          <w:tab w:val="num" w:pos="720"/>
        </w:tabs>
        <w:spacing w:before="0" w:after="200"/>
        <w:ind w:left="714" w:hanging="357"/>
        <w:rPr>
          <w:rFonts w:ascii="Times New Roman" w:hAnsi="Times New Roman"/>
          <w:color w:val="C45911" w:themeColor="accent2" w:themeShade="BF"/>
          <w:lang w:eastAsia="zh-CN"/>
        </w:rPr>
      </w:pPr>
      <w:r>
        <w:rPr>
          <w:rFonts w:ascii="Times New Roman" w:hAnsi="Times New Roman"/>
          <w:color w:val="C45911" w:themeColor="accent2" w:themeShade="BF"/>
          <w:lang w:eastAsia="zh-CN"/>
        </w:rPr>
        <w:t xml:space="preserve">We send an LS to R1, ask whether there is impact, and if so whether the impact is acceptable. </w:t>
      </w:r>
    </w:p>
    <w:p w14:paraId="584BE145" w14:textId="453199DF" w:rsidR="007D71AD" w:rsidRDefault="007D71AD" w:rsidP="007D71AD">
      <w:pPr>
        <w:pStyle w:val="BodyText"/>
      </w:pPr>
      <w:r>
        <w:t>RAN1 received an LS</w:t>
      </w:r>
      <w:r w:rsidR="00293CF1">
        <w:t xml:space="preserve"> </w:t>
      </w:r>
      <w:r w:rsidR="00293CF1">
        <w:fldChar w:fldCharType="begin"/>
      </w:r>
      <w:r w:rsidR="00293CF1">
        <w:instrText xml:space="preserve"> REF _Ref32471132 \r \h </w:instrText>
      </w:r>
      <w:r w:rsidR="00293CF1">
        <w:fldChar w:fldCharType="separate"/>
      </w:r>
      <w:r w:rsidR="00293CF1">
        <w:t>[1]</w:t>
      </w:r>
      <w:r w:rsidR="00293CF1">
        <w:fldChar w:fldCharType="end"/>
      </w:r>
      <w:r w:rsidR="00293CF1">
        <w:t xml:space="preserve"> from RAN2</w:t>
      </w:r>
      <w:r>
        <w:t xml:space="preserve"> to check if this feature can be introduced under TEI16 with no or limited impact to RAN1 specifications.</w:t>
      </w:r>
    </w:p>
    <w:p w14:paraId="619D2E99" w14:textId="3E6C1CB6" w:rsidR="00477768" w:rsidRPr="00CE0424" w:rsidRDefault="007D71AD" w:rsidP="00CE0424">
      <w:pPr>
        <w:pStyle w:val="BodyText"/>
      </w:pPr>
      <w:r>
        <w:t>In this contribution</w:t>
      </w:r>
      <w:r w:rsidR="00293CF1">
        <w:t>, we discuss the potential impact of a secondary DRX group on the RAN1 specifications.</w:t>
      </w:r>
    </w:p>
    <w:p w14:paraId="661199D1" w14:textId="54964CC8" w:rsidR="004000E8" w:rsidRDefault="00230D18" w:rsidP="00CE0424">
      <w:pPr>
        <w:pStyle w:val="Heading1"/>
      </w:pPr>
      <w:bookmarkStart w:id="0" w:name="_Ref178064866"/>
      <w:r>
        <w:t>2</w:t>
      </w:r>
      <w:r>
        <w:tab/>
      </w:r>
      <w:r w:rsidR="004000E8" w:rsidRPr="00CE0424">
        <w:t>Discussion</w:t>
      </w:r>
      <w:bookmarkEnd w:id="0"/>
    </w:p>
    <w:p w14:paraId="1CC388F0" w14:textId="31FD2700" w:rsidR="00293CF1" w:rsidRDefault="00293CF1" w:rsidP="00293CF1">
      <w:pPr>
        <w:spacing w:after="120"/>
        <w:jc w:val="both"/>
        <w:rPr>
          <w:rFonts w:ascii="Arial" w:hAnsi="Arial" w:cs="Arial"/>
          <w:lang w:eastAsia="en-US"/>
        </w:rPr>
      </w:pPr>
      <w:r>
        <w:rPr>
          <w:rFonts w:ascii="Arial" w:hAnsi="Arial" w:cs="Arial"/>
        </w:rPr>
        <w:t xml:space="preserve">RAN2 has discussed a power saving enhancement when both FR1 and FR2 cells are configured via Carrier Aggregation. With this enhancement the FR2 cells can be configured with a separate (and shorter) </w:t>
      </w:r>
      <w:r>
        <w:rPr>
          <w:rFonts w:ascii="Arial" w:hAnsi="Arial" w:cs="Arial"/>
          <w:i/>
        </w:rPr>
        <w:t>drx-InactivityTimer</w:t>
      </w:r>
      <w:r>
        <w:rPr>
          <w:rFonts w:ascii="Arial" w:hAnsi="Arial" w:cs="Arial"/>
        </w:rPr>
        <w:t xml:space="preserve"> and </w:t>
      </w:r>
      <w:r>
        <w:rPr>
          <w:rFonts w:ascii="Arial" w:hAnsi="Arial" w:cs="Arial"/>
          <w:i/>
        </w:rPr>
        <w:t>drx-OnDurationTimer</w:t>
      </w:r>
      <w:r>
        <w:rPr>
          <w:rFonts w:ascii="Arial" w:hAnsi="Arial" w:cs="Arial"/>
        </w:rPr>
        <w:t xml:space="preserve"> compared to the FR1 cells. The length of Long DRX cycle and Short DRX cycle, if configured, are common for both FR1 and FR2. This enhancement enables the FR2 cells to go to sleep more quickly and thereby reduce power consumption as depicted below: </w:t>
      </w:r>
    </w:p>
    <w:p w14:paraId="1469198F" w14:textId="7BF35046" w:rsidR="00293CF1" w:rsidRDefault="00293CF1" w:rsidP="00293CF1">
      <w:pPr>
        <w:spacing w:after="120"/>
        <w:jc w:val="both"/>
        <w:rPr>
          <w:rFonts w:ascii="Arial" w:hAnsi="Arial" w:cs="Arial"/>
        </w:rPr>
      </w:pPr>
      <w:r>
        <w:rPr>
          <w:noProof/>
        </w:rPr>
        <w:drawing>
          <wp:inline distT="0" distB="0" distL="0" distR="0" wp14:anchorId="7DD984AB" wp14:editId="6F07090E">
            <wp:extent cx="4905375" cy="2238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23392" t="23228" r="22954" b="18242"/>
                    <a:stretch>
                      <a:fillRect/>
                    </a:stretch>
                  </pic:blipFill>
                  <pic:spPr bwMode="auto">
                    <a:xfrm>
                      <a:off x="0" y="0"/>
                      <a:ext cx="4905375" cy="2238375"/>
                    </a:xfrm>
                    <a:prstGeom prst="rect">
                      <a:avLst/>
                    </a:prstGeom>
                    <a:noFill/>
                    <a:ln>
                      <a:noFill/>
                    </a:ln>
                  </pic:spPr>
                </pic:pic>
              </a:graphicData>
            </a:graphic>
          </wp:inline>
        </w:drawing>
      </w:r>
      <w:r>
        <w:rPr>
          <w:rFonts w:ascii="Arial" w:hAnsi="Arial" w:cs="Arial"/>
        </w:rPr>
        <w:t xml:space="preserve"> </w:t>
      </w:r>
    </w:p>
    <w:p w14:paraId="250C6641" w14:textId="199D30E0" w:rsidR="00293CF1" w:rsidRDefault="00293CF1" w:rsidP="00293CF1">
      <w:pPr>
        <w:pStyle w:val="TF"/>
        <w:rPr>
          <w:noProof/>
        </w:rPr>
      </w:pPr>
      <w:r>
        <w:lastRenderedPageBreak/>
        <w:t xml:space="preserve">Figure </w:t>
      </w:r>
      <w:r w:rsidR="00041CA5">
        <w:fldChar w:fldCharType="begin"/>
      </w:r>
      <w:r w:rsidR="00041CA5">
        <w:instrText xml:space="preserve"> SEQ Figure \* ARABIC </w:instrText>
      </w:r>
      <w:r w:rsidR="00041CA5">
        <w:fldChar w:fldCharType="separate"/>
      </w:r>
      <w:r>
        <w:rPr>
          <w:noProof/>
        </w:rPr>
        <w:t>1</w:t>
      </w:r>
      <w:r w:rsidR="00041CA5">
        <w:rPr>
          <w:noProof/>
        </w:rPr>
        <w:fldChar w:fldCharType="end"/>
      </w:r>
      <w:r>
        <w:t xml:space="preserve">: </w:t>
      </w:r>
      <w:r w:rsidR="008C3D76">
        <w:t>Secondary</w:t>
      </w:r>
      <w:r>
        <w:t xml:space="preserve"> DRX: the values of </w:t>
      </w:r>
      <w:r w:rsidRPr="00293CF1">
        <w:rPr>
          <w:i/>
          <w:iCs/>
        </w:rPr>
        <w:t>drx-InactivityTimer</w:t>
      </w:r>
      <w:r>
        <w:t xml:space="preserve"> and the </w:t>
      </w:r>
      <w:r w:rsidRPr="00293CF1">
        <w:rPr>
          <w:i/>
          <w:iCs/>
        </w:rPr>
        <w:t>drx-OnDurationTimer</w:t>
      </w:r>
      <w:r>
        <w:rPr>
          <w:noProof/>
        </w:rPr>
        <w:t xml:space="preserve"> are different on the different cells.</w:t>
      </w:r>
    </w:p>
    <w:p w14:paraId="7E5C99FE" w14:textId="10879086" w:rsidR="00293CF1" w:rsidRDefault="00293CF1" w:rsidP="00293CF1">
      <w:pPr>
        <w:pStyle w:val="BodyText"/>
      </w:pPr>
      <w:r>
        <w:t xml:space="preserve">First, it is important to note that DRX does not have a large impact on the RAN1 specifications. Obviously, the description of physical channels and signals are independent of DRX </w:t>
      </w:r>
      <w:r w:rsidR="00C10B52">
        <w:fldChar w:fldCharType="begin"/>
      </w:r>
      <w:r w:rsidR="00C10B52">
        <w:instrText xml:space="preserve"> REF _Ref32472312 \r \h </w:instrText>
      </w:r>
      <w:r w:rsidR="00C10B52">
        <w:fldChar w:fldCharType="separate"/>
      </w:r>
      <w:r w:rsidR="00C10B52">
        <w:t>[2]</w:t>
      </w:r>
      <w:r w:rsidR="00C10B52">
        <w:fldChar w:fldCharType="end"/>
      </w:r>
      <w:r>
        <w:t>.</w:t>
      </w:r>
      <w:r w:rsidR="00C10B52">
        <w:t xml:space="preserve"> The same is true for the multiplexing and channel coding </w:t>
      </w:r>
      <w:r w:rsidR="00C10B52">
        <w:fldChar w:fldCharType="begin"/>
      </w:r>
      <w:r w:rsidR="00C10B52">
        <w:instrText xml:space="preserve"> REF _Ref32472342 \r \h </w:instrText>
      </w:r>
      <w:r w:rsidR="00C10B52">
        <w:fldChar w:fldCharType="separate"/>
      </w:r>
      <w:r w:rsidR="00C10B52">
        <w:t>[3]</w:t>
      </w:r>
      <w:r w:rsidR="00C10B52">
        <w:fldChar w:fldCharType="end"/>
      </w:r>
      <w:r w:rsidR="00C10B52">
        <w:t xml:space="preserve">, as well as the physical layer measurements </w:t>
      </w:r>
      <w:r w:rsidR="00C10B52">
        <w:fldChar w:fldCharType="begin"/>
      </w:r>
      <w:r w:rsidR="00C10B52">
        <w:instrText xml:space="preserve"> REF _Ref32472361 \r \h </w:instrText>
      </w:r>
      <w:r w:rsidR="00C10B52">
        <w:fldChar w:fldCharType="separate"/>
      </w:r>
      <w:r w:rsidR="00C10B52">
        <w:t>[6]</w:t>
      </w:r>
      <w:r w:rsidR="00C10B52">
        <w:fldChar w:fldCharType="end"/>
      </w:r>
      <w:r w:rsidR="00C10B52">
        <w:t>.</w:t>
      </w:r>
      <w:r>
        <w:t xml:space="preserve"> </w:t>
      </w:r>
      <w:r w:rsidR="00C10B52">
        <w:t xml:space="preserve">The only </w:t>
      </w:r>
      <w:r w:rsidR="00C10B52" w:rsidRPr="00554688">
        <w:rPr>
          <w:i/>
          <w:iCs/>
        </w:rPr>
        <w:t>potential</w:t>
      </w:r>
      <w:r w:rsidR="00C10B52">
        <w:t xml:space="preserve"> impact could be in </w:t>
      </w:r>
      <w:r w:rsidR="00C10B52">
        <w:fldChar w:fldCharType="begin"/>
      </w:r>
      <w:r w:rsidR="00C10B52">
        <w:instrText xml:space="preserve"> REF _Ref32472393 \r \h </w:instrText>
      </w:r>
      <w:r w:rsidR="00C10B52">
        <w:fldChar w:fldCharType="separate"/>
      </w:r>
      <w:r w:rsidR="00C10B52">
        <w:t>[4]</w:t>
      </w:r>
      <w:r w:rsidR="00C10B52">
        <w:fldChar w:fldCharType="end"/>
      </w:r>
      <w:r w:rsidR="00C10B52">
        <w:t xml:space="preserve"> and </w:t>
      </w:r>
      <w:r w:rsidR="00C10B52">
        <w:fldChar w:fldCharType="begin"/>
      </w:r>
      <w:r w:rsidR="00C10B52">
        <w:instrText xml:space="preserve"> REF _Ref32472394 \r \h </w:instrText>
      </w:r>
      <w:r w:rsidR="00C10B52">
        <w:fldChar w:fldCharType="separate"/>
      </w:r>
      <w:r w:rsidR="00C10B52">
        <w:t>[5]</w:t>
      </w:r>
      <w:r w:rsidR="00C10B52">
        <w:fldChar w:fldCharType="end"/>
      </w:r>
      <w:r w:rsidR="0015089A">
        <w:t>:</w:t>
      </w:r>
      <w:bookmarkStart w:id="1" w:name="_GoBack"/>
      <w:bookmarkEnd w:id="1"/>
    </w:p>
    <w:p w14:paraId="6BD0698E" w14:textId="6C67A241" w:rsidR="00293CF1" w:rsidRDefault="00293CF1" w:rsidP="00293CF1">
      <w:pPr>
        <w:pStyle w:val="Observation"/>
      </w:pPr>
      <w:bookmarkStart w:id="2" w:name="_Toc32484535"/>
      <w:r>
        <w:t>DRX does not have a large impact on the RAN1 specifications.</w:t>
      </w:r>
      <w:bookmarkEnd w:id="2"/>
    </w:p>
    <w:p w14:paraId="0D3D1FCB" w14:textId="77777777" w:rsidR="00B852C8" w:rsidRDefault="00F60C27" w:rsidP="00F60C27">
      <w:pPr>
        <w:pStyle w:val="BodyText"/>
      </w:pPr>
      <w:r>
        <w:t xml:space="preserve">When scrutinizing </w:t>
      </w:r>
      <w:r>
        <w:fldChar w:fldCharType="begin"/>
      </w:r>
      <w:r>
        <w:instrText xml:space="preserve"> REF _Ref32472393 \r \h </w:instrText>
      </w:r>
      <w:r>
        <w:fldChar w:fldCharType="separate"/>
      </w:r>
      <w:r>
        <w:t>[4]</w:t>
      </w:r>
      <w:r>
        <w:fldChar w:fldCharType="end"/>
      </w:r>
      <w:r>
        <w:t xml:space="preserve">, DRX is only discussed in relation of radio link monitoring and beam failure detection. As radio link monitoring only operates on the primary cell, there is no impact of carrier aggregation. In Rel-16, the UE may be configured to perform beam failure detection on any serving cell, but the evaluation procedure is still </w:t>
      </w:r>
      <w:r>
        <w:rPr>
          <w:i/>
          <w:iCs/>
        </w:rPr>
        <w:t xml:space="preserve">per cell, </w:t>
      </w:r>
      <w:r>
        <w:t xml:space="preserve">so there is no cross-carrier impact. We can also note that it is only the DRX period that affects these procedures, and the DRX period would be the same for secondary </w:t>
      </w:r>
      <w:r w:rsidR="00B852C8">
        <w:t>DRX group. Hence, we conclude</w:t>
      </w:r>
    </w:p>
    <w:p w14:paraId="5EC89BA3" w14:textId="62F98333" w:rsidR="00F60C27" w:rsidRDefault="00B852C8" w:rsidP="00B852C8">
      <w:pPr>
        <w:pStyle w:val="Observation"/>
      </w:pPr>
      <w:bookmarkStart w:id="3" w:name="_Toc32484536"/>
      <w:r>
        <w:t>There is no impact to 38.213 by the introduction of the secondary DRX group.</w:t>
      </w:r>
      <w:bookmarkEnd w:id="3"/>
      <w:r w:rsidR="00F60C27">
        <w:t xml:space="preserve"> </w:t>
      </w:r>
    </w:p>
    <w:p w14:paraId="13BA44DC" w14:textId="77777777" w:rsidR="00FC79FA" w:rsidRDefault="00253BC1" w:rsidP="00FC79FA">
      <w:pPr>
        <w:pStyle w:val="BodyText"/>
      </w:pPr>
      <w:r>
        <w:t xml:space="preserve">Turning our attention to </w:t>
      </w:r>
      <w:r>
        <w:fldChar w:fldCharType="begin"/>
      </w:r>
      <w:r>
        <w:instrText xml:space="preserve"> REF _Ref32472394 \r \h </w:instrText>
      </w:r>
      <w:r>
        <w:fldChar w:fldCharType="separate"/>
      </w:r>
      <w:r>
        <w:t>[5]</w:t>
      </w:r>
      <w:r>
        <w:fldChar w:fldCharType="end"/>
      </w:r>
      <w:r>
        <w:t>, DRX is mentioned in a few places</w:t>
      </w:r>
      <w:r w:rsidR="00FC79FA">
        <w:t xml:space="preserve">: </w:t>
      </w:r>
    </w:p>
    <w:p w14:paraId="6968C4E5" w14:textId="01C8CC8B" w:rsidR="00253BC1" w:rsidRDefault="00FC79FA" w:rsidP="00FC79FA">
      <w:pPr>
        <w:pStyle w:val="BodyText"/>
        <w:numPr>
          <w:ilvl w:val="0"/>
          <w:numId w:val="25"/>
        </w:numPr>
      </w:pPr>
      <w:r>
        <w:t>CSI measurements</w:t>
      </w:r>
    </w:p>
    <w:p w14:paraId="0F5B960A" w14:textId="458781AD" w:rsidR="00FC79FA" w:rsidRDefault="00FC79FA" w:rsidP="00FC79FA">
      <w:pPr>
        <w:pStyle w:val="BodyText"/>
        <w:numPr>
          <w:ilvl w:val="0"/>
          <w:numId w:val="25"/>
        </w:numPr>
      </w:pPr>
      <w:r>
        <w:t>Measurements on CSI-RS for mobility</w:t>
      </w:r>
    </w:p>
    <w:p w14:paraId="7A869B4B" w14:textId="5A09707E" w:rsidR="00FC79FA" w:rsidRDefault="00FC79FA" w:rsidP="00FC79FA">
      <w:pPr>
        <w:pStyle w:val="BodyText"/>
      </w:pPr>
      <w:r>
        <w:t xml:space="preserve">Here we note that the specification text is written for one cell: the measurements are performed </w:t>
      </w:r>
      <w:r>
        <w:rPr>
          <w:i/>
          <w:iCs/>
        </w:rPr>
        <w:t xml:space="preserve">per cell, </w:t>
      </w:r>
      <w:r>
        <w:t>and the reference to DRX active time applies to the cell where the measurements are performed: the DRX active time for any other cell is irrelevant. For CSI measurements, the relevant paragraph</w:t>
      </w:r>
      <w:r w:rsidR="004151A3">
        <w:t>s</w:t>
      </w:r>
      <w:r>
        <w:t xml:space="preserve"> in 38.214 </w:t>
      </w:r>
      <w:r w:rsidR="004151A3">
        <w:t>are</w:t>
      </w:r>
    </w:p>
    <w:p w14:paraId="4A81889A" w14:textId="42F15326" w:rsidR="00FC79FA" w:rsidRDefault="00FC79FA" w:rsidP="00FC79FA">
      <w:pPr>
        <w:pStyle w:val="BodyText"/>
      </w:pPr>
      <w:r>
        <w:rPr>
          <w:noProof/>
        </w:rPr>
        <mc:AlternateContent>
          <mc:Choice Requires="wps">
            <w:drawing>
              <wp:inline distT="0" distB="0" distL="0" distR="0" wp14:anchorId="7525B7B2" wp14:editId="21F913F4">
                <wp:extent cx="6057900" cy="1038225"/>
                <wp:effectExtent l="0" t="0" r="19050" b="22860"/>
                <wp:docPr id="2" name="Text Box 2"/>
                <wp:cNvGraphicFramePr/>
                <a:graphic xmlns:a="http://schemas.openxmlformats.org/drawingml/2006/main">
                  <a:graphicData uri="http://schemas.microsoft.com/office/word/2010/wordprocessingShape">
                    <wps:wsp>
                      <wps:cNvSpPr txBox="1"/>
                      <wps:spPr>
                        <a:xfrm>
                          <a:off x="0" y="0"/>
                          <a:ext cx="6057900" cy="1038225"/>
                        </a:xfrm>
                        <a:prstGeom prst="rect">
                          <a:avLst/>
                        </a:prstGeom>
                        <a:solidFill>
                          <a:schemeClr val="lt1"/>
                        </a:solidFill>
                        <a:ln w="6350">
                          <a:solidFill>
                            <a:prstClr val="black"/>
                          </a:solidFill>
                        </a:ln>
                      </wps:spPr>
                      <wps:txbx>
                        <w:txbxContent>
                          <w:p w14:paraId="6E05E591" w14:textId="05DD1DFB" w:rsidR="004151A3" w:rsidRDefault="004151A3" w:rsidP="004151A3">
                            <w:pPr>
                              <w:rPr>
                                <w:rFonts w:eastAsia="MS Mincho"/>
                                <w:color w:val="000000"/>
                              </w:rPr>
                            </w:pPr>
                            <w:r w:rsidRPr="004151A3">
                              <w:rPr>
                                <w:rFonts w:eastAsia="MS Mincho"/>
                                <w:color w:val="000000"/>
                                <w:highlight w:val="green"/>
                              </w:rPr>
                              <w:t>Excerpt from 38.214, subclause 5.1.6.1:</w:t>
                            </w:r>
                          </w:p>
                          <w:p w14:paraId="1E1DD688" w14:textId="56E5A4D5" w:rsidR="00FC79FA" w:rsidRPr="004151A3" w:rsidRDefault="004151A3">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25B7B2" id="_x0000_t202" coordsize="21600,21600" o:spt="202" path="m,l,21600r21600,l21600,xe">
                <v:stroke joinstyle="miter"/>
                <v:path gradientshapeok="t" o:connecttype="rect"/>
              </v:shapetype>
              <v:shape id="Text Box 2" o:spid="_x0000_s1026" type="#_x0000_t202" style="width:477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" fillcolor="white [3201]" strokeweight=".5pt">
                <v:textbox style="mso-fit-shape-to-text:t">
                  <w:txbxContent>
                    <w:p w14:paraId="6E05E591" w14:textId="05DD1DFB" w:rsidR="004151A3" w:rsidRDefault="004151A3" w:rsidP="004151A3">
                      <w:pPr>
                        <w:rPr>
                          <w:rFonts w:eastAsia="MS Mincho"/>
                          <w:color w:val="000000"/>
                        </w:rPr>
                      </w:pPr>
                      <w:r w:rsidRPr="004151A3">
                        <w:rPr>
                          <w:rFonts w:eastAsia="MS Mincho"/>
                          <w:color w:val="000000"/>
                          <w:highlight w:val="green"/>
                        </w:rPr>
                        <w:t>Excerpt from 38.214, subclause 5.1.6.1:</w:t>
                      </w:r>
                    </w:p>
                    <w:p w14:paraId="1E1DD688" w14:textId="56E5A4D5" w:rsidR="00FC79FA" w:rsidRPr="004151A3" w:rsidRDefault="004151A3">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txbxContent>
                </v:textbox>
                <w10:anchorlock/>
              </v:shape>
            </w:pict>
          </mc:Fallback>
        </mc:AlternateContent>
      </w:r>
    </w:p>
    <w:p w14:paraId="3F0FB57E" w14:textId="67903C09" w:rsidR="004151A3" w:rsidRDefault="005A6E1C" w:rsidP="00FC79FA">
      <w:pPr>
        <w:pStyle w:val="BodyText"/>
      </w:pPr>
      <w:r>
        <w:t>a</w:t>
      </w:r>
      <w:r w:rsidR="004151A3">
        <w:t>nd</w:t>
      </w:r>
    </w:p>
    <w:p w14:paraId="264F103B" w14:textId="3773A280" w:rsidR="004151A3" w:rsidRDefault="004151A3" w:rsidP="00FC79FA">
      <w:pPr>
        <w:pStyle w:val="BodyText"/>
      </w:pPr>
      <w:r>
        <w:rPr>
          <w:noProof/>
        </w:rPr>
        <mc:AlternateContent>
          <mc:Choice Requires="wps">
            <w:drawing>
              <wp:inline distT="0" distB="0" distL="0" distR="0" wp14:anchorId="134A1E86" wp14:editId="1D81C0AA">
                <wp:extent cx="6057900" cy="1038225"/>
                <wp:effectExtent l="0" t="0" r="19050" b="22860"/>
                <wp:docPr id="4" name="Text Box 4"/>
                <wp:cNvGraphicFramePr/>
                <a:graphic xmlns:a="http://schemas.openxmlformats.org/drawingml/2006/main">
                  <a:graphicData uri="http://schemas.microsoft.com/office/word/2010/wordprocessingShape">
                    <wps:wsp>
                      <wps:cNvSpPr txBox="1"/>
                      <wps:spPr>
                        <a:xfrm>
                          <a:off x="0" y="0"/>
                          <a:ext cx="6057900" cy="1038225"/>
                        </a:xfrm>
                        <a:prstGeom prst="rect">
                          <a:avLst/>
                        </a:prstGeom>
                        <a:solidFill>
                          <a:schemeClr val="lt1"/>
                        </a:solidFill>
                        <a:ln w="6350">
                          <a:solidFill>
                            <a:prstClr val="black"/>
                          </a:solidFill>
                        </a:ln>
                      </wps:spPr>
                      <wps:txbx>
                        <w:txbxContent>
                          <w:p w14:paraId="1B2A82E4" w14:textId="5A2ACFD2" w:rsidR="004151A3" w:rsidRDefault="004151A3" w:rsidP="004151A3">
                            <w:pPr>
                              <w:rPr>
                                <w:rFonts w:eastAsia="MS Mincho"/>
                                <w:color w:val="000000"/>
                              </w:rPr>
                            </w:pPr>
                            <w:r w:rsidRPr="004151A3">
                              <w:rPr>
                                <w:rFonts w:eastAsia="MS Mincho"/>
                                <w:color w:val="000000"/>
                                <w:highlight w:val="green"/>
                              </w:rPr>
                              <w:t>Excerpt from 38.214, subclause 5.</w:t>
                            </w:r>
                            <w:r>
                              <w:rPr>
                                <w:rFonts w:eastAsia="MS Mincho"/>
                                <w:color w:val="000000"/>
                                <w:highlight w:val="green"/>
                              </w:rPr>
                              <w:t>2.2.5</w:t>
                            </w:r>
                            <w:r w:rsidRPr="004151A3">
                              <w:rPr>
                                <w:rFonts w:eastAsia="MS Mincho"/>
                                <w:color w:val="000000"/>
                                <w:highlight w:val="green"/>
                              </w:rPr>
                              <w:t>:</w:t>
                            </w:r>
                          </w:p>
                          <w:p w14:paraId="48EC16A8" w14:textId="577FC422" w:rsidR="004151A3" w:rsidRPr="00151E28" w:rsidRDefault="00151E28" w:rsidP="00151E28">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151E28">
                              <w:rPr>
                                <w:color w:val="BFBFBF" w:themeColor="background1" w:themeShade="BF"/>
                              </w:rPr>
                              <w:t>When the UE is configured to monitor DCI format 2_6 and if the UE configured by higher layer parameter [</w:t>
                            </w:r>
                            <w:r w:rsidRPr="00151E28">
                              <w:rPr>
                                <w:i/>
                                <w:iCs/>
                                <w:color w:val="BFBFBF" w:themeColor="background1" w:themeShade="BF"/>
                              </w:rPr>
                              <w:t>PS-Periodic_CSI_TransmitOrNot</w:t>
                            </w:r>
                            <w:r w:rsidRPr="00151E28">
                              <w:rPr>
                                <w:color w:val="BFBFBF" w:themeColor="background1" w:themeShade="BF"/>
                              </w:rPr>
                              <w:t xml:space="preserve">] to report CSI with the higher layer parameter </w:t>
                            </w:r>
                            <w:r w:rsidRPr="00151E28">
                              <w:rPr>
                                <w:i/>
                                <w:color w:val="BFBFBF" w:themeColor="background1" w:themeShade="BF"/>
                              </w:rPr>
                              <w:t>reportConfigType</w:t>
                            </w:r>
                            <w:r w:rsidRPr="00151E28">
                              <w:rPr>
                                <w:color w:val="BFBFBF" w:themeColor="background1" w:themeShade="BF"/>
                              </w:rPr>
                              <w:t xml:space="preserve"> set to ‘periodic’ when </w:t>
                            </w:r>
                            <w:r w:rsidRPr="00151E28">
                              <w:rPr>
                                <w:i/>
                                <w:iCs/>
                                <w:color w:val="BFBFBF" w:themeColor="background1" w:themeShade="BF"/>
                                <w:lang w:val="en-US"/>
                              </w:rPr>
                              <w:t>drx-onDurationTimer</w:t>
                            </w:r>
                            <w:r w:rsidRPr="00151E28">
                              <w:rPr>
                                <w:color w:val="BFBFBF" w:themeColor="background1" w:themeShade="BF"/>
                                <w:lang w:val="en-US"/>
                              </w:rPr>
                              <w:t xml:space="preserve"> is not started</w:t>
                            </w:r>
                            <w:r w:rsidRPr="00151E28">
                              <w:rPr>
                                <w:color w:val="BFBFBF" w:themeColor="background1" w:themeShade="BF"/>
                              </w:rPr>
                              <w:t xml:space="preserve">, the UE shall report CSI </w:t>
                            </w:r>
                            <w:r w:rsidRPr="00151E28">
                              <w:rPr>
                                <w:color w:val="BFBFBF" w:themeColor="background1" w:themeShade="BF"/>
                                <w:lang w:val="en-US"/>
                              </w:rPr>
                              <w:t xml:space="preserve">during the time duration indicated by </w:t>
                            </w:r>
                            <w:r w:rsidRPr="00151E28">
                              <w:rPr>
                                <w:i/>
                                <w:iCs/>
                                <w:color w:val="BFBFBF" w:themeColor="background1" w:themeShade="BF"/>
                                <w:lang w:val="en-US"/>
                              </w:rPr>
                              <w:t xml:space="preserve">drx-onDurationTimer </w:t>
                            </w:r>
                            <w:r w:rsidRPr="00151E28">
                              <w:rPr>
                                <w:iCs/>
                                <w:color w:val="BFBFBF" w:themeColor="background1" w:themeShade="BF"/>
                                <w:lang w:val="en-US"/>
                              </w:rPr>
                              <w:t>also outside active time according to the procedure described in Clause 5.2.1.4</w:t>
                            </w:r>
                            <w:r w:rsidRPr="00151E28">
                              <w:rPr>
                                <w:color w:val="BFBFBF" w:themeColor="background1" w:themeShade="BF"/>
                                <w:lang w:val="en-US"/>
                              </w:rPr>
                              <w:t xml:space="preserve">. </w:t>
                            </w:r>
                            <w:r w:rsidRPr="00151E28">
                              <w:rPr>
                                <w:color w:val="BFBFBF" w:themeColor="background1" w:themeShade="BF"/>
                              </w:rPr>
                              <w:t>When the UE is configured to monitor DCI format 2_6 and if the UE configured by higher layer parameter [</w:t>
                            </w:r>
                            <w:r w:rsidRPr="00151E28">
                              <w:rPr>
                                <w:i/>
                                <w:iCs/>
                                <w:color w:val="BFBFBF" w:themeColor="background1" w:themeShade="BF"/>
                              </w:rPr>
                              <w:t>PS_Periodic_L1-RSRP_TransmitOrNot</w:t>
                            </w:r>
                            <w:r w:rsidRPr="00151E28">
                              <w:rPr>
                                <w:color w:val="BFBFBF" w:themeColor="background1" w:themeShade="BF"/>
                              </w:rPr>
                              <w:t xml:space="preserve">] to report L1-RSRP with the higher layer parameter </w:t>
                            </w:r>
                            <w:r w:rsidRPr="00151E28">
                              <w:rPr>
                                <w:i/>
                                <w:color w:val="BFBFBF" w:themeColor="background1" w:themeShade="BF"/>
                              </w:rPr>
                              <w:t>reportConfigType</w:t>
                            </w:r>
                            <w:r w:rsidRPr="00151E28">
                              <w:rPr>
                                <w:color w:val="BFBFBF" w:themeColor="background1" w:themeShade="BF"/>
                              </w:rPr>
                              <w:t xml:space="preserve"> set to ‘periodic’ when </w:t>
                            </w:r>
                            <w:r w:rsidRPr="00151E28">
                              <w:rPr>
                                <w:i/>
                                <w:iCs/>
                                <w:color w:val="BFBFBF" w:themeColor="background1" w:themeShade="BF"/>
                                <w:lang w:val="en-US"/>
                              </w:rPr>
                              <w:t>drx-onDurationTimer</w:t>
                            </w:r>
                            <w:r w:rsidRPr="00151E28">
                              <w:rPr>
                                <w:color w:val="BFBFBF" w:themeColor="background1" w:themeShade="BF"/>
                                <w:lang w:val="en-US"/>
                              </w:rPr>
                              <w:t xml:space="preserve"> is not started</w:t>
                            </w:r>
                            <w:r w:rsidRPr="00151E28">
                              <w:rPr>
                                <w:color w:val="BFBFBF" w:themeColor="background1" w:themeShade="BF"/>
                              </w:rPr>
                              <w:t xml:space="preserve">, the UE shall report L1-RSRP </w:t>
                            </w:r>
                            <w:r w:rsidRPr="00151E28">
                              <w:rPr>
                                <w:color w:val="BFBFBF" w:themeColor="background1" w:themeShade="BF"/>
                                <w:lang w:val="en-US"/>
                              </w:rPr>
                              <w:t xml:space="preserve">during the time duration indicated by </w:t>
                            </w:r>
                            <w:r w:rsidRPr="00151E28">
                              <w:rPr>
                                <w:i/>
                                <w:iCs/>
                                <w:color w:val="BFBFBF" w:themeColor="background1" w:themeShade="BF"/>
                                <w:lang w:val="en-US"/>
                              </w:rPr>
                              <w:t>drx-onDurationTimer</w:t>
                            </w:r>
                            <w:r w:rsidRPr="00151E28">
                              <w:rPr>
                                <w:iCs/>
                                <w:color w:val="BFBFBF" w:themeColor="background1" w:themeShade="BF"/>
                                <w:lang w:val="en-US"/>
                              </w:rPr>
                              <w:t xml:space="preserve"> also outside active time according to the procedure described in clause 5.2.1.4</w:t>
                            </w:r>
                            <w:r w:rsidRPr="00151E28">
                              <w:rPr>
                                <w:color w:val="BFBFBF" w:themeColor="background1" w:themeShade="BF"/>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4A1E86" id="Text Box 4" o:spid="_x0000_s1027" type="#_x0000_t202" style="width:477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" fillcolor="white [3201]" strokeweight=".5pt">
                <v:textbox style="mso-fit-shape-to-text:t">
                  <w:txbxContent>
                    <w:p w14:paraId="1B2A82E4" w14:textId="5A2ACFD2" w:rsidR="004151A3" w:rsidRDefault="004151A3" w:rsidP="004151A3">
                      <w:pPr>
                        <w:rPr>
                          <w:rFonts w:eastAsia="MS Mincho"/>
                          <w:color w:val="000000"/>
                        </w:rPr>
                      </w:pPr>
                      <w:r w:rsidRPr="004151A3">
                        <w:rPr>
                          <w:rFonts w:eastAsia="MS Mincho"/>
                          <w:color w:val="000000"/>
                          <w:highlight w:val="green"/>
                        </w:rPr>
                        <w:t>Excerpt from 38.214, subclause 5.</w:t>
                      </w:r>
                      <w:r>
                        <w:rPr>
                          <w:rFonts w:eastAsia="MS Mincho"/>
                          <w:color w:val="000000"/>
                          <w:highlight w:val="green"/>
                        </w:rPr>
                        <w:t>2.2.5</w:t>
                      </w:r>
                      <w:r w:rsidRPr="004151A3">
                        <w:rPr>
                          <w:rFonts w:eastAsia="MS Mincho"/>
                          <w:color w:val="000000"/>
                          <w:highlight w:val="green"/>
                        </w:rPr>
                        <w:t>:</w:t>
                      </w:r>
                    </w:p>
                    <w:p w14:paraId="48EC16A8" w14:textId="577FC422" w:rsidR="004151A3" w:rsidRPr="00151E28" w:rsidRDefault="00151E28" w:rsidP="00151E28">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151E28">
                        <w:rPr>
                          <w:color w:val="BFBFBF" w:themeColor="background1" w:themeShade="BF"/>
                        </w:rPr>
                        <w:t>When the UE is configured to monitor DCI format 2_6 and if the UE configured by higher layer parameter [</w:t>
                      </w:r>
                      <w:r w:rsidRPr="00151E28">
                        <w:rPr>
                          <w:i/>
                          <w:iCs/>
                          <w:color w:val="BFBFBF" w:themeColor="background1" w:themeShade="BF"/>
                        </w:rPr>
                        <w:t>PS-Periodic_CSI_TransmitOrNot</w:t>
                      </w:r>
                      <w:r w:rsidRPr="00151E28">
                        <w:rPr>
                          <w:color w:val="BFBFBF" w:themeColor="background1" w:themeShade="BF"/>
                        </w:rPr>
                        <w:t xml:space="preserve">] to report CSI with the higher layer parameter </w:t>
                      </w:r>
                      <w:r w:rsidRPr="00151E28">
                        <w:rPr>
                          <w:i/>
                          <w:color w:val="BFBFBF" w:themeColor="background1" w:themeShade="BF"/>
                        </w:rPr>
                        <w:t>reportConfigType</w:t>
                      </w:r>
                      <w:r w:rsidRPr="00151E28">
                        <w:rPr>
                          <w:color w:val="BFBFBF" w:themeColor="background1" w:themeShade="BF"/>
                        </w:rPr>
                        <w:t xml:space="preserve"> set to ‘periodic’ when </w:t>
                      </w:r>
                      <w:r w:rsidRPr="00151E28">
                        <w:rPr>
                          <w:i/>
                          <w:iCs/>
                          <w:color w:val="BFBFBF" w:themeColor="background1" w:themeShade="BF"/>
                          <w:lang w:val="en-US"/>
                        </w:rPr>
                        <w:t>drx-onDurationTimer</w:t>
                      </w:r>
                      <w:r w:rsidRPr="00151E28">
                        <w:rPr>
                          <w:color w:val="BFBFBF" w:themeColor="background1" w:themeShade="BF"/>
                          <w:lang w:val="en-US"/>
                        </w:rPr>
                        <w:t xml:space="preserve"> is not started</w:t>
                      </w:r>
                      <w:r w:rsidRPr="00151E28">
                        <w:rPr>
                          <w:color w:val="BFBFBF" w:themeColor="background1" w:themeShade="BF"/>
                        </w:rPr>
                        <w:t xml:space="preserve">, the UE shall report CSI </w:t>
                      </w:r>
                      <w:r w:rsidRPr="00151E28">
                        <w:rPr>
                          <w:color w:val="BFBFBF" w:themeColor="background1" w:themeShade="BF"/>
                          <w:lang w:val="en-US"/>
                        </w:rPr>
                        <w:t xml:space="preserve">during the time duration indicated by </w:t>
                      </w:r>
                      <w:r w:rsidRPr="00151E28">
                        <w:rPr>
                          <w:i/>
                          <w:iCs/>
                          <w:color w:val="BFBFBF" w:themeColor="background1" w:themeShade="BF"/>
                          <w:lang w:val="en-US"/>
                        </w:rPr>
                        <w:t xml:space="preserve">drx-onDurationTimer </w:t>
                      </w:r>
                      <w:r w:rsidRPr="00151E28">
                        <w:rPr>
                          <w:iCs/>
                          <w:color w:val="BFBFBF" w:themeColor="background1" w:themeShade="BF"/>
                          <w:lang w:val="en-US"/>
                        </w:rPr>
                        <w:t>also outside active time according to the procedure described in Clause 5.2.1.4</w:t>
                      </w:r>
                      <w:r w:rsidRPr="00151E28">
                        <w:rPr>
                          <w:color w:val="BFBFBF" w:themeColor="background1" w:themeShade="BF"/>
                          <w:lang w:val="en-US"/>
                        </w:rPr>
                        <w:t xml:space="preserve">. </w:t>
                      </w:r>
                      <w:r w:rsidRPr="00151E28">
                        <w:rPr>
                          <w:color w:val="BFBFBF" w:themeColor="background1" w:themeShade="BF"/>
                        </w:rPr>
                        <w:t>When the UE is configured to monitor DCI format 2_6 and if the UE configured by higher layer parameter [</w:t>
                      </w:r>
                      <w:r w:rsidRPr="00151E28">
                        <w:rPr>
                          <w:i/>
                          <w:iCs/>
                          <w:color w:val="BFBFBF" w:themeColor="background1" w:themeShade="BF"/>
                        </w:rPr>
                        <w:t>PS_Periodic_L1-RSRP_TransmitOrNot</w:t>
                      </w:r>
                      <w:r w:rsidRPr="00151E28">
                        <w:rPr>
                          <w:color w:val="BFBFBF" w:themeColor="background1" w:themeShade="BF"/>
                        </w:rPr>
                        <w:t xml:space="preserve">] to report L1-RSRP with the higher layer parameter </w:t>
                      </w:r>
                      <w:r w:rsidRPr="00151E28">
                        <w:rPr>
                          <w:i/>
                          <w:color w:val="BFBFBF" w:themeColor="background1" w:themeShade="BF"/>
                        </w:rPr>
                        <w:t>reportConfigType</w:t>
                      </w:r>
                      <w:r w:rsidRPr="00151E28">
                        <w:rPr>
                          <w:color w:val="BFBFBF" w:themeColor="background1" w:themeShade="BF"/>
                        </w:rPr>
                        <w:t xml:space="preserve"> set to ‘periodic’ when </w:t>
                      </w:r>
                      <w:r w:rsidRPr="00151E28">
                        <w:rPr>
                          <w:i/>
                          <w:iCs/>
                          <w:color w:val="BFBFBF" w:themeColor="background1" w:themeShade="BF"/>
                          <w:lang w:val="en-US"/>
                        </w:rPr>
                        <w:t>drx-onDurationTimer</w:t>
                      </w:r>
                      <w:r w:rsidRPr="00151E28">
                        <w:rPr>
                          <w:color w:val="BFBFBF" w:themeColor="background1" w:themeShade="BF"/>
                          <w:lang w:val="en-US"/>
                        </w:rPr>
                        <w:t xml:space="preserve"> is not started</w:t>
                      </w:r>
                      <w:r w:rsidRPr="00151E28">
                        <w:rPr>
                          <w:color w:val="BFBFBF" w:themeColor="background1" w:themeShade="BF"/>
                        </w:rPr>
                        <w:t xml:space="preserve">, the UE shall report L1-RSRP </w:t>
                      </w:r>
                      <w:r w:rsidRPr="00151E28">
                        <w:rPr>
                          <w:color w:val="BFBFBF" w:themeColor="background1" w:themeShade="BF"/>
                          <w:lang w:val="en-US"/>
                        </w:rPr>
                        <w:t xml:space="preserve">during the time duration indicated by </w:t>
                      </w:r>
                      <w:r w:rsidRPr="00151E28">
                        <w:rPr>
                          <w:i/>
                          <w:iCs/>
                          <w:color w:val="BFBFBF" w:themeColor="background1" w:themeShade="BF"/>
                          <w:lang w:val="en-US"/>
                        </w:rPr>
                        <w:t>drx-onDurationTimer</w:t>
                      </w:r>
                      <w:r w:rsidRPr="00151E28">
                        <w:rPr>
                          <w:iCs/>
                          <w:color w:val="BFBFBF" w:themeColor="background1" w:themeShade="BF"/>
                          <w:lang w:val="en-US"/>
                        </w:rPr>
                        <w:t xml:space="preserve"> also outside active time according to the procedure described in clause 5.2.1.4</w:t>
                      </w:r>
                      <w:r w:rsidRPr="00151E28">
                        <w:rPr>
                          <w:color w:val="BFBFBF" w:themeColor="background1" w:themeShade="BF"/>
                          <w:lang w:val="en-US"/>
                        </w:rPr>
                        <w:t>.</w:t>
                      </w:r>
                    </w:p>
                  </w:txbxContent>
                </v:textbox>
                <w10:anchorlock/>
              </v:shape>
            </w:pict>
          </mc:Fallback>
        </mc:AlternateContent>
      </w:r>
    </w:p>
    <w:p w14:paraId="56662794" w14:textId="6B63DC2F" w:rsidR="00151E28" w:rsidRDefault="00151E28" w:rsidP="00FC79FA">
      <w:pPr>
        <w:pStyle w:val="BodyText"/>
      </w:pPr>
      <w:r>
        <w:t>Another relevant part of subclause 5.2.2.5 is the following:</w:t>
      </w:r>
    </w:p>
    <w:p w14:paraId="7102D4CF" w14:textId="754992B2" w:rsidR="00151E28" w:rsidRDefault="00151E28" w:rsidP="00FC79FA">
      <w:pPr>
        <w:pStyle w:val="BodyText"/>
      </w:pPr>
      <w:r>
        <w:rPr>
          <w:noProof/>
        </w:rPr>
        <w:lastRenderedPageBreak/>
        <mc:AlternateContent>
          <mc:Choice Requires="wps">
            <w:drawing>
              <wp:inline distT="0" distB="0" distL="0" distR="0" wp14:anchorId="228DB692" wp14:editId="31A1C074">
                <wp:extent cx="6057900" cy="1038225"/>
                <wp:effectExtent l="0" t="0" r="19050" b="22860"/>
                <wp:docPr id="5" name="Text Box 5"/>
                <wp:cNvGraphicFramePr/>
                <a:graphic xmlns:a="http://schemas.openxmlformats.org/drawingml/2006/main">
                  <a:graphicData uri="http://schemas.microsoft.com/office/word/2010/wordprocessingShape">
                    <wps:wsp>
                      <wps:cNvSpPr txBox="1"/>
                      <wps:spPr>
                        <a:xfrm>
                          <a:off x="0" y="0"/>
                          <a:ext cx="6057900" cy="1038225"/>
                        </a:xfrm>
                        <a:prstGeom prst="rect">
                          <a:avLst/>
                        </a:prstGeom>
                        <a:solidFill>
                          <a:schemeClr val="lt1"/>
                        </a:solidFill>
                        <a:ln w="6350">
                          <a:solidFill>
                            <a:prstClr val="black"/>
                          </a:solidFill>
                        </a:ln>
                      </wps:spPr>
                      <wps:txbx>
                        <w:txbxContent>
                          <w:p w14:paraId="38E185BF" w14:textId="77777777" w:rsidR="00151E28" w:rsidRDefault="00151E28" w:rsidP="00151E28">
                            <w:pPr>
                              <w:rPr>
                                <w:rFonts w:eastAsia="MS Mincho"/>
                                <w:color w:val="000000"/>
                              </w:rPr>
                            </w:pPr>
                            <w:r w:rsidRPr="004151A3">
                              <w:rPr>
                                <w:rFonts w:eastAsia="MS Mincho"/>
                                <w:color w:val="000000"/>
                                <w:highlight w:val="green"/>
                              </w:rPr>
                              <w:t>Excerpt from 38.214, subclause 5.</w:t>
                            </w:r>
                            <w:r>
                              <w:rPr>
                                <w:rFonts w:eastAsia="MS Mincho"/>
                                <w:color w:val="000000"/>
                                <w:highlight w:val="green"/>
                              </w:rPr>
                              <w:t>2.2.5</w:t>
                            </w:r>
                            <w:r w:rsidRPr="004151A3">
                              <w:rPr>
                                <w:rFonts w:eastAsia="MS Mincho"/>
                                <w:color w:val="000000"/>
                                <w:highlight w:val="green"/>
                              </w:rPr>
                              <w:t>:</w:t>
                            </w:r>
                          </w:p>
                          <w:p w14:paraId="3ED4B579" w14:textId="77777777" w:rsidR="00151E28" w:rsidRPr="00151E28" w:rsidRDefault="00151E28" w:rsidP="00151E28">
                            <w:pPr>
                              <w:rPr>
                                <w:color w:val="000000"/>
                              </w:rPr>
                            </w:pPr>
                            <w:r w:rsidRPr="00151E28">
                              <w:rPr>
                                <w:color w:val="D9D9D9" w:themeColor="background1" w:themeShade="D9"/>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151E28">
                              <w:t>When the UE is configured to monitor DCI format 2_6 and if the UE configured by higher layer parameter [</w:t>
                            </w:r>
                            <w:r w:rsidRPr="00151E28">
                              <w:rPr>
                                <w:i/>
                                <w:iCs/>
                              </w:rPr>
                              <w:t>PS-Periodic_CSI_TransmitOrNot</w:t>
                            </w:r>
                            <w:r w:rsidRPr="00151E28">
                              <w:t xml:space="preserve">] to report CSI with the higher layer parameter </w:t>
                            </w:r>
                            <w:r w:rsidRPr="00151E28">
                              <w:rPr>
                                <w:i/>
                              </w:rPr>
                              <w:t>reportConfigType</w:t>
                            </w:r>
                            <w:r w:rsidRPr="00151E28">
                              <w:t xml:space="preserve"> set to ‘periodic’ when </w:t>
                            </w:r>
                            <w:r w:rsidRPr="00151E28">
                              <w:rPr>
                                <w:i/>
                                <w:iCs/>
                                <w:lang w:val="en-US"/>
                              </w:rPr>
                              <w:t>drx-onDurationTimer</w:t>
                            </w:r>
                            <w:r w:rsidRPr="00151E28">
                              <w:rPr>
                                <w:lang w:val="en-US"/>
                              </w:rPr>
                              <w:t xml:space="preserve"> is not started</w:t>
                            </w:r>
                            <w:r w:rsidRPr="00151E28">
                              <w:t xml:space="preserve">, the UE shall report CSI </w:t>
                            </w:r>
                            <w:r w:rsidRPr="00151E28">
                              <w:rPr>
                                <w:lang w:val="en-US"/>
                              </w:rPr>
                              <w:t xml:space="preserve">during the time duration indicated by </w:t>
                            </w:r>
                            <w:r w:rsidRPr="00151E28">
                              <w:rPr>
                                <w:i/>
                                <w:iCs/>
                                <w:lang w:val="en-US"/>
                              </w:rPr>
                              <w:t xml:space="preserve">drx-onDurationTimer </w:t>
                            </w:r>
                            <w:r w:rsidRPr="00151E28">
                              <w:rPr>
                                <w:iCs/>
                                <w:lang w:val="en-US"/>
                              </w:rPr>
                              <w:t>also outside active time according to the procedure described in Clause 5.2.1.4</w:t>
                            </w:r>
                            <w:r w:rsidRPr="00151E28">
                              <w:rPr>
                                <w:lang w:val="en-US"/>
                              </w:rPr>
                              <w:t xml:space="preserve">. </w:t>
                            </w:r>
                            <w:r w:rsidRPr="00151E28">
                              <w:t>When the UE is configured to monitor DCI format 2_6 and if the UE configured by higher layer parameter [</w:t>
                            </w:r>
                            <w:r w:rsidRPr="00151E28">
                              <w:rPr>
                                <w:i/>
                                <w:iCs/>
                              </w:rPr>
                              <w:t>PS_Periodic_L1-RSRP_TransmitOrNot</w:t>
                            </w:r>
                            <w:r w:rsidRPr="00151E28">
                              <w:t xml:space="preserve">] to report L1-RSRP with the higher layer parameter </w:t>
                            </w:r>
                            <w:r w:rsidRPr="00151E28">
                              <w:rPr>
                                <w:i/>
                              </w:rPr>
                              <w:t>reportConfigType</w:t>
                            </w:r>
                            <w:r w:rsidRPr="00151E28">
                              <w:t xml:space="preserve"> set to ‘periodic’ when </w:t>
                            </w:r>
                            <w:r w:rsidRPr="00151E28">
                              <w:rPr>
                                <w:i/>
                                <w:iCs/>
                                <w:lang w:val="en-US"/>
                              </w:rPr>
                              <w:t>drx-onDurationTimer</w:t>
                            </w:r>
                            <w:r w:rsidRPr="00151E28">
                              <w:rPr>
                                <w:lang w:val="en-US"/>
                              </w:rPr>
                              <w:t xml:space="preserve"> is not started</w:t>
                            </w:r>
                            <w:r w:rsidRPr="00151E28">
                              <w:t xml:space="preserve">, the UE shall report L1-RSRP </w:t>
                            </w:r>
                            <w:r w:rsidRPr="00151E28">
                              <w:rPr>
                                <w:lang w:val="en-US"/>
                              </w:rPr>
                              <w:t xml:space="preserve">during the time duration indicated by </w:t>
                            </w:r>
                            <w:r w:rsidRPr="00151E28">
                              <w:rPr>
                                <w:i/>
                                <w:iCs/>
                                <w:lang w:val="en-US"/>
                              </w:rPr>
                              <w:t>drx-onDurationTimer</w:t>
                            </w:r>
                            <w:r w:rsidRPr="00151E28">
                              <w:rPr>
                                <w:iCs/>
                                <w:lang w:val="en-US"/>
                              </w:rPr>
                              <w:t xml:space="preserve"> also outside active time according to the procedure described in clause 5.2.1.4</w:t>
                            </w:r>
                            <w:r w:rsidRPr="00151E28">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8DB692" id="Text Box 5" o:spid="_x0000_s1028" type="#_x0000_t202" style="width:477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" fillcolor="white [3201]" strokeweight=".5pt">
                <v:textbox style="mso-fit-shape-to-text:t">
                  <w:txbxContent>
                    <w:p w14:paraId="38E185BF" w14:textId="77777777" w:rsidR="00151E28" w:rsidRDefault="00151E28" w:rsidP="00151E28">
                      <w:pPr>
                        <w:rPr>
                          <w:rFonts w:eastAsia="MS Mincho"/>
                          <w:color w:val="000000"/>
                        </w:rPr>
                      </w:pPr>
                      <w:r w:rsidRPr="004151A3">
                        <w:rPr>
                          <w:rFonts w:eastAsia="MS Mincho"/>
                          <w:color w:val="000000"/>
                          <w:highlight w:val="green"/>
                        </w:rPr>
                        <w:t>Excerpt from 38.214, subclause 5.</w:t>
                      </w:r>
                      <w:r>
                        <w:rPr>
                          <w:rFonts w:eastAsia="MS Mincho"/>
                          <w:color w:val="000000"/>
                          <w:highlight w:val="green"/>
                        </w:rPr>
                        <w:t>2.2.5</w:t>
                      </w:r>
                      <w:r w:rsidRPr="004151A3">
                        <w:rPr>
                          <w:rFonts w:eastAsia="MS Mincho"/>
                          <w:color w:val="000000"/>
                          <w:highlight w:val="green"/>
                        </w:rPr>
                        <w:t>:</w:t>
                      </w:r>
                    </w:p>
                    <w:p w14:paraId="3ED4B579" w14:textId="77777777" w:rsidR="00151E28" w:rsidRPr="00151E28" w:rsidRDefault="00151E28" w:rsidP="00151E28">
                      <w:pPr>
                        <w:rPr>
                          <w:color w:val="000000"/>
                        </w:rPr>
                      </w:pPr>
                      <w:r w:rsidRPr="00151E28">
                        <w:rPr>
                          <w:color w:val="D9D9D9" w:themeColor="background1" w:themeShade="D9"/>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151E28">
                        <w:t>When the UE is configured to monitor DCI format 2_6 and if the UE configured by higher layer parameter [</w:t>
                      </w:r>
                      <w:r w:rsidRPr="00151E28">
                        <w:rPr>
                          <w:i/>
                          <w:iCs/>
                        </w:rPr>
                        <w:t>PS-Periodic_CSI_TransmitOrNot</w:t>
                      </w:r>
                      <w:r w:rsidRPr="00151E28">
                        <w:t xml:space="preserve">] to report CSI with the higher layer parameter </w:t>
                      </w:r>
                      <w:r w:rsidRPr="00151E28">
                        <w:rPr>
                          <w:i/>
                        </w:rPr>
                        <w:t>reportConfigType</w:t>
                      </w:r>
                      <w:r w:rsidRPr="00151E28">
                        <w:t xml:space="preserve"> set to ‘periodic’ when </w:t>
                      </w:r>
                      <w:r w:rsidRPr="00151E28">
                        <w:rPr>
                          <w:i/>
                          <w:iCs/>
                          <w:lang w:val="en-US"/>
                        </w:rPr>
                        <w:t>drx-onDurationTimer</w:t>
                      </w:r>
                      <w:r w:rsidRPr="00151E28">
                        <w:rPr>
                          <w:lang w:val="en-US"/>
                        </w:rPr>
                        <w:t xml:space="preserve"> is not started</w:t>
                      </w:r>
                      <w:r w:rsidRPr="00151E28">
                        <w:t xml:space="preserve">, the UE shall report CSI </w:t>
                      </w:r>
                      <w:r w:rsidRPr="00151E28">
                        <w:rPr>
                          <w:lang w:val="en-US"/>
                        </w:rPr>
                        <w:t xml:space="preserve">during the time duration indicated by </w:t>
                      </w:r>
                      <w:r w:rsidRPr="00151E28">
                        <w:rPr>
                          <w:i/>
                          <w:iCs/>
                          <w:lang w:val="en-US"/>
                        </w:rPr>
                        <w:t xml:space="preserve">drx-onDurationTimer </w:t>
                      </w:r>
                      <w:r w:rsidRPr="00151E28">
                        <w:rPr>
                          <w:iCs/>
                          <w:lang w:val="en-US"/>
                        </w:rPr>
                        <w:t>also outside active time according to the procedure described in Clause 5.2.1.4</w:t>
                      </w:r>
                      <w:r w:rsidRPr="00151E28">
                        <w:rPr>
                          <w:lang w:val="en-US"/>
                        </w:rPr>
                        <w:t xml:space="preserve">. </w:t>
                      </w:r>
                      <w:r w:rsidRPr="00151E28">
                        <w:t>When the UE is configured to monitor DCI format 2_6 and if the UE configured by higher layer parameter [</w:t>
                      </w:r>
                      <w:r w:rsidRPr="00151E28">
                        <w:rPr>
                          <w:i/>
                          <w:iCs/>
                        </w:rPr>
                        <w:t>PS_Periodic_L1-RSRP_TransmitOrNot</w:t>
                      </w:r>
                      <w:r w:rsidRPr="00151E28">
                        <w:t xml:space="preserve">] to report L1-RSRP with the higher layer parameter </w:t>
                      </w:r>
                      <w:r w:rsidRPr="00151E28">
                        <w:rPr>
                          <w:i/>
                        </w:rPr>
                        <w:t>reportConfigType</w:t>
                      </w:r>
                      <w:r w:rsidRPr="00151E28">
                        <w:t xml:space="preserve"> set to ‘periodic’ when </w:t>
                      </w:r>
                      <w:r w:rsidRPr="00151E28">
                        <w:rPr>
                          <w:i/>
                          <w:iCs/>
                          <w:lang w:val="en-US"/>
                        </w:rPr>
                        <w:t>drx-onDurationTimer</w:t>
                      </w:r>
                      <w:r w:rsidRPr="00151E28">
                        <w:rPr>
                          <w:lang w:val="en-US"/>
                        </w:rPr>
                        <w:t xml:space="preserve"> is not started</w:t>
                      </w:r>
                      <w:r w:rsidRPr="00151E28">
                        <w:t xml:space="preserve">, the UE shall report L1-RSRP </w:t>
                      </w:r>
                      <w:r w:rsidRPr="00151E28">
                        <w:rPr>
                          <w:lang w:val="en-US"/>
                        </w:rPr>
                        <w:t xml:space="preserve">during the time duration indicated by </w:t>
                      </w:r>
                      <w:r w:rsidRPr="00151E28">
                        <w:rPr>
                          <w:i/>
                          <w:iCs/>
                          <w:lang w:val="en-US"/>
                        </w:rPr>
                        <w:t>drx-onDurationTimer</w:t>
                      </w:r>
                      <w:r w:rsidRPr="00151E28">
                        <w:rPr>
                          <w:iCs/>
                          <w:lang w:val="en-US"/>
                        </w:rPr>
                        <w:t xml:space="preserve"> also outside active time according to the procedure described in clause 5.2.1.4</w:t>
                      </w:r>
                      <w:r w:rsidRPr="00151E28">
                        <w:rPr>
                          <w:lang w:val="en-US"/>
                        </w:rPr>
                        <w:t>.</w:t>
                      </w:r>
                    </w:p>
                  </w:txbxContent>
                </v:textbox>
                <w10:anchorlock/>
              </v:shape>
            </w:pict>
          </mc:Fallback>
        </mc:AlternateContent>
      </w:r>
    </w:p>
    <w:p w14:paraId="05C180A5" w14:textId="1C13014E" w:rsidR="00151E28" w:rsidRPr="00095CC1" w:rsidRDefault="00151E28" w:rsidP="00FC79FA">
      <w:pPr>
        <w:pStyle w:val="BodyText"/>
      </w:pPr>
      <w:r>
        <w:t xml:space="preserve">The highlighted part of the above text explains that the UE may be configured to </w:t>
      </w:r>
      <w:r w:rsidRPr="00151E28">
        <w:rPr>
          <w:i/>
          <w:iCs/>
        </w:rPr>
        <w:t>report</w:t>
      </w:r>
      <w:r>
        <w:t xml:space="preserve"> periodic CSI or L1-RSRP outside active time, </w:t>
      </w:r>
      <w:r w:rsidRPr="00151E28">
        <w:rPr>
          <w:lang w:val="en-US"/>
        </w:rPr>
        <w:t xml:space="preserve">during the time duration indicated by </w:t>
      </w:r>
      <w:r w:rsidRPr="00151E28">
        <w:rPr>
          <w:i/>
          <w:iCs/>
          <w:lang w:val="en-US"/>
        </w:rPr>
        <w:t>drx-onDurationTimer</w:t>
      </w:r>
      <w:r>
        <w:rPr>
          <w:i/>
          <w:iCs/>
          <w:lang w:val="en-US"/>
        </w:rPr>
        <w:t xml:space="preserve">. </w:t>
      </w:r>
      <w:r>
        <w:rPr>
          <w:lang w:val="en-US"/>
        </w:rPr>
        <w:t xml:space="preserve"> It is clear from that context that this refers to the cell over which the CSI is </w:t>
      </w:r>
      <w:r w:rsidRPr="00151E28">
        <w:rPr>
          <w:i/>
          <w:iCs/>
          <w:lang w:val="en-US"/>
        </w:rPr>
        <w:t>reported</w:t>
      </w:r>
      <w:r>
        <w:rPr>
          <w:lang w:val="en-US"/>
        </w:rPr>
        <w:t xml:space="preserve">, </w:t>
      </w:r>
      <w:r w:rsidRPr="00151E28">
        <w:rPr>
          <w:lang w:val="en-US"/>
        </w:rPr>
        <w:t>i.e.</w:t>
      </w:r>
      <w:r w:rsidRPr="00151E28">
        <w:rPr>
          <w:i/>
          <w:iCs/>
          <w:lang w:val="en-US"/>
        </w:rPr>
        <w:t>,</w:t>
      </w:r>
      <w:r>
        <w:rPr>
          <w:i/>
          <w:iCs/>
          <w:lang w:val="en-US"/>
        </w:rPr>
        <w:t xml:space="preserve"> </w:t>
      </w:r>
      <w:r>
        <w:rPr>
          <w:lang w:val="en-US"/>
        </w:rPr>
        <w:t xml:space="preserve">the transmission time of the </w:t>
      </w:r>
      <w:r w:rsidR="00095CC1">
        <w:rPr>
          <w:lang w:val="en-US"/>
        </w:rPr>
        <w:t xml:space="preserve">corresponding </w:t>
      </w:r>
      <w:r>
        <w:rPr>
          <w:lang w:val="en-US"/>
        </w:rPr>
        <w:t xml:space="preserve">PUCCH must be inside the </w:t>
      </w:r>
      <w:r w:rsidR="00095CC1">
        <w:rPr>
          <w:lang w:val="en-US"/>
        </w:rPr>
        <w:t xml:space="preserve">(potentially shorter) </w:t>
      </w:r>
      <w:r w:rsidR="00095CC1" w:rsidRPr="00151E28">
        <w:rPr>
          <w:i/>
          <w:iCs/>
          <w:lang w:val="en-US"/>
        </w:rPr>
        <w:t>drx-onDurationTimer</w:t>
      </w:r>
      <w:r w:rsidR="00095CC1">
        <w:rPr>
          <w:i/>
          <w:iCs/>
          <w:lang w:val="en-US"/>
        </w:rPr>
        <w:t xml:space="preserve"> </w:t>
      </w:r>
      <w:r w:rsidR="00095CC1">
        <w:rPr>
          <w:lang w:val="en-US"/>
        </w:rPr>
        <w:t>of the cell over which the CSI or L1-RSRP is reported.</w:t>
      </w:r>
    </w:p>
    <w:p w14:paraId="6A2DE1F6" w14:textId="28093EF8" w:rsidR="004151A3" w:rsidRDefault="004151A3" w:rsidP="00FC79FA">
      <w:pPr>
        <w:pStyle w:val="BodyText"/>
      </w:pPr>
      <w:r>
        <w:t xml:space="preserve">For measurements on </w:t>
      </w:r>
      <w:r w:rsidR="005A6E1C">
        <w:t>CSI-RS for mobility, the same is true: the measurements are – obviously – performed on the cell where the reference signals are transmitted, and the DRX active time on other cells is irrelevant:</w:t>
      </w:r>
    </w:p>
    <w:p w14:paraId="4AC527EA" w14:textId="626032C9" w:rsidR="005A6E1C" w:rsidRDefault="005A6E1C" w:rsidP="005A6E1C">
      <w:pPr>
        <w:pStyle w:val="Observation"/>
      </w:pPr>
      <w:bookmarkStart w:id="4" w:name="_Toc32484537"/>
      <w:r>
        <w:t>CSI measurements and measurements on CSI-RS for mobility only depend on the DRX state of the cell where the measurements are performed.</w:t>
      </w:r>
      <w:bookmarkEnd w:id="4"/>
    </w:p>
    <w:p w14:paraId="7BEB1D66" w14:textId="7CD33442" w:rsidR="005A6E1C" w:rsidRDefault="005A6E1C" w:rsidP="005A6E1C">
      <w:pPr>
        <w:pStyle w:val="BodyText"/>
      </w:pPr>
      <w:r>
        <w:t>Thus, 38.214 support</w:t>
      </w:r>
      <w:r w:rsidR="00394493">
        <w:t>s</w:t>
      </w:r>
      <w:r>
        <w:t xml:space="preserve"> the introduction of a secondary DRX cycle without any modifications.</w:t>
      </w:r>
    </w:p>
    <w:p w14:paraId="1F8924CF" w14:textId="384F0F55" w:rsidR="005A6E1C" w:rsidRDefault="005A6E1C" w:rsidP="005A6E1C">
      <w:pPr>
        <w:pStyle w:val="BodyText"/>
      </w:pPr>
      <w:r>
        <w:t>After going through the relevant RAN1 specifications, we realize:</w:t>
      </w:r>
    </w:p>
    <w:p w14:paraId="55A215E8" w14:textId="75CC862C" w:rsidR="005A6E1C" w:rsidRPr="00FC79FA" w:rsidRDefault="005A6E1C" w:rsidP="005A6E1C">
      <w:pPr>
        <w:pStyle w:val="Observation"/>
      </w:pPr>
      <w:bookmarkStart w:id="5" w:name="_Toc32484538"/>
      <w:r>
        <w:t xml:space="preserve">There is no impact to RAN1 specifications by the introduction of a secondary DRX </w:t>
      </w:r>
      <w:r w:rsidR="008C3D76">
        <w:t>group</w:t>
      </w:r>
      <w:r>
        <w:t>.</w:t>
      </w:r>
      <w:bookmarkEnd w:id="5"/>
    </w:p>
    <w:p w14:paraId="136B73B7" w14:textId="77777777" w:rsidR="00C01F33" w:rsidRPr="00CE0424" w:rsidRDefault="00C01F33" w:rsidP="00CE0424">
      <w:pPr>
        <w:pStyle w:val="Heading1"/>
      </w:pPr>
      <w:r w:rsidRPr="00CE0424">
        <w:t>Conclusion</w:t>
      </w:r>
    </w:p>
    <w:p w14:paraId="1C42FEF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05F96A" w14:textId="3566342B" w:rsidR="00016FC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484535" w:history="1">
        <w:r w:rsidR="00016FCB" w:rsidRPr="00023322">
          <w:rPr>
            <w:rStyle w:val="Hyperlink"/>
            <w:noProof/>
          </w:rPr>
          <w:t>Observation 1</w:t>
        </w:r>
        <w:r w:rsidR="00016FCB">
          <w:rPr>
            <w:rFonts w:asciiTheme="minorHAnsi" w:eastAsiaTheme="minorEastAsia" w:hAnsiTheme="minorHAnsi" w:cstheme="minorBidi"/>
            <w:b w:val="0"/>
            <w:noProof/>
            <w:sz w:val="22"/>
            <w:szCs w:val="22"/>
            <w:lang w:val="sv-SE" w:eastAsia="sv-SE"/>
          </w:rPr>
          <w:tab/>
        </w:r>
        <w:r w:rsidR="00016FCB" w:rsidRPr="00023322">
          <w:rPr>
            <w:rStyle w:val="Hyperlink"/>
            <w:noProof/>
          </w:rPr>
          <w:t>DRX does not have a large impact on the RAN1 specifications.</w:t>
        </w:r>
      </w:hyperlink>
    </w:p>
    <w:p w14:paraId="0C3E650D" w14:textId="7B8F576A" w:rsidR="00016FCB" w:rsidRDefault="001508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4536" w:history="1">
        <w:r w:rsidR="00016FCB" w:rsidRPr="00023322">
          <w:rPr>
            <w:rStyle w:val="Hyperlink"/>
            <w:noProof/>
          </w:rPr>
          <w:t>Observation 2</w:t>
        </w:r>
        <w:r w:rsidR="00016FCB">
          <w:rPr>
            <w:rFonts w:asciiTheme="minorHAnsi" w:eastAsiaTheme="minorEastAsia" w:hAnsiTheme="minorHAnsi" w:cstheme="minorBidi"/>
            <w:b w:val="0"/>
            <w:noProof/>
            <w:sz w:val="22"/>
            <w:szCs w:val="22"/>
            <w:lang w:val="sv-SE" w:eastAsia="sv-SE"/>
          </w:rPr>
          <w:tab/>
        </w:r>
        <w:r w:rsidR="00016FCB" w:rsidRPr="00023322">
          <w:rPr>
            <w:rStyle w:val="Hyperlink"/>
            <w:noProof/>
          </w:rPr>
          <w:t>There is no impact to 38.213 by the introduction of the secondary DRX group.</w:t>
        </w:r>
      </w:hyperlink>
    </w:p>
    <w:p w14:paraId="50B75BD8" w14:textId="7F2EF2E5" w:rsidR="00016FCB" w:rsidRDefault="001508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4537" w:history="1">
        <w:r w:rsidR="00016FCB" w:rsidRPr="00023322">
          <w:rPr>
            <w:rStyle w:val="Hyperlink"/>
            <w:noProof/>
          </w:rPr>
          <w:t>Observation 3</w:t>
        </w:r>
        <w:r w:rsidR="00016FCB">
          <w:rPr>
            <w:rFonts w:asciiTheme="minorHAnsi" w:eastAsiaTheme="minorEastAsia" w:hAnsiTheme="minorHAnsi" w:cstheme="minorBidi"/>
            <w:b w:val="0"/>
            <w:noProof/>
            <w:sz w:val="22"/>
            <w:szCs w:val="22"/>
            <w:lang w:val="sv-SE" w:eastAsia="sv-SE"/>
          </w:rPr>
          <w:tab/>
        </w:r>
        <w:r w:rsidR="00016FCB" w:rsidRPr="00023322">
          <w:rPr>
            <w:rStyle w:val="Hyperlink"/>
            <w:noProof/>
          </w:rPr>
          <w:t>CSI measurements and measurements on CSI-RS for mobility only depend on the DRX state of the cell where the measurements are performed.</w:t>
        </w:r>
      </w:hyperlink>
    </w:p>
    <w:p w14:paraId="254B492F" w14:textId="115D2019" w:rsidR="00016FCB" w:rsidRDefault="001508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4538" w:history="1">
        <w:r w:rsidR="00016FCB" w:rsidRPr="00023322">
          <w:rPr>
            <w:rStyle w:val="Hyperlink"/>
            <w:noProof/>
          </w:rPr>
          <w:t>Observation 4</w:t>
        </w:r>
        <w:r w:rsidR="00016FCB">
          <w:rPr>
            <w:rFonts w:asciiTheme="minorHAnsi" w:eastAsiaTheme="minorEastAsia" w:hAnsiTheme="minorHAnsi" w:cstheme="minorBidi"/>
            <w:b w:val="0"/>
            <w:noProof/>
            <w:sz w:val="22"/>
            <w:szCs w:val="22"/>
            <w:lang w:val="sv-SE" w:eastAsia="sv-SE"/>
          </w:rPr>
          <w:tab/>
        </w:r>
        <w:r w:rsidR="00016FCB" w:rsidRPr="00023322">
          <w:rPr>
            <w:rStyle w:val="Hyperlink"/>
            <w:noProof/>
          </w:rPr>
          <w:t>There is no impact to RAN1 specifications by the introduction of a secondary DRX group.</w:t>
        </w:r>
      </w:hyperlink>
    </w:p>
    <w:p w14:paraId="272AB94A" w14:textId="07C71890" w:rsidR="00C01F33" w:rsidRPr="005A6E1C" w:rsidRDefault="006F6582" w:rsidP="005A6E1C">
      <w:pPr>
        <w:pStyle w:val="BodyText"/>
        <w:rPr>
          <w:b/>
          <w:bCs/>
        </w:rPr>
      </w:pPr>
      <w:r>
        <w:rPr>
          <w:b/>
          <w:bCs/>
        </w:rPr>
        <w:fldChar w:fldCharType="end"/>
      </w:r>
    </w:p>
    <w:p w14:paraId="2D130EA5" w14:textId="77777777" w:rsidR="00F507D1" w:rsidRPr="00CE0424" w:rsidRDefault="00F507D1" w:rsidP="00CE0424">
      <w:pPr>
        <w:pStyle w:val="Heading1"/>
      </w:pPr>
      <w:bookmarkStart w:id="6" w:name="_In-sequence_SDU_delivery"/>
      <w:bookmarkEnd w:id="6"/>
      <w:r w:rsidRPr="00CE0424">
        <w:t>References</w:t>
      </w:r>
    </w:p>
    <w:p w14:paraId="4F25A3B6" w14:textId="328834A5" w:rsidR="005F3025" w:rsidRPr="00CE0424" w:rsidRDefault="00293CF1" w:rsidP="00311702">
      <w:pPr>
        <w:pStyle w:val="Reference"/>
      </w:pPr>
      <w:bookmarkStart w:id="7" w:name="_Ref32471132"/>
      <w:bookmarkStart w:id="8" w:name="_Ref174151459"/>
      <w:bookmarkStart w:id="9" w:name="_Ref189809556"/>
      <w:r>
        <w:rPr>
          <w:rFonts w:cs="Arial"/>
          <w:bCs/>
        </w:rPr>
        <w:t xml:space="preserve">R1-2000165, LS on </w:t>
      </w:r>
      <w:r>
        <w:rPr>
          <w:rFonts w:cs="Arial"/>
        </w:rPr>
        <w:t>secondary DRX group, RAN2, RAN1#100-e, February 2020</w:t>
      </w:r>
      <w:bookmarkEnd w:id="7"/>
    </w:p>
    <w:p w14:paraId="565C40D6" w14:textId="4F412216" w:rsidR="00293CF1" w:rsidRDefault="00293CF1" w:rsidP="004C64B2">
      <w:pPr>
        <w:pStyle w:val="Reference"/>
      </w:pPr>
      <w:bookmarkStart w:id="10" w:name="_Ref32472312"/>
      <w:r w:rsidRPr="00293CF1">
        <w:t>3GPP TS 38.211 V16.0.0</w:t>
      </w:r>
      <w:r>
        <w:t>, NR; Physical channels and modulation, RAN#86, December 2019</w:t>
      </w:r>
      <w:bookmarkEnd w:id="10"/>
    </w:p>
    <w:p w14:paraId="023C11C6" w14:textId="08D45FA0" w:rsidR="00293CF1" w:rsidRDefault="00293CF1" w:rsidP="00293CF1">
      <w:pPr>
        <w:pStyle w:val="Reference"/>
      </w:pPr>
      <w:bookmarkStart w:id="11" w:name="_Ref32472342"/>
      <w:r w:rsidRPr="00293CF1">
        <w:t>3GPP TS 38.21</w:t>
      </w:r>
      <w:r>
        <w:t>2</w:t>
      </w:r>
      <w:r w:rsidRPr="00293CF1">
        <w:t xml:space="preserve"> V16.0.0</w:t>
      </w:r>
      <w:r>
        <w:t>, NR;</w:t>
      </w:r>
      <w:r w:rsidR="00C10B52" w:rsidRPr="00C10B52">
        <w:t xml:space="preserve"> Multiplexing and channel coding</w:t>
      </w:r>
      <w:r w:rsidR="00C10B52">
        <w:t>,</w:t>
      </w:r>
      <w:r>
        <w:t xml:space="preserve"> RAN#86, December 2019</w:t>
      </w:r>
      <w:bookmarkEnd w:id="11"/>
    </w:p>
    <w:p w14:paraId="55828117" w14:textId="53E4F8FE" w:rsidR="00293CF1" w:rsidRDefault="00293CF1" w:rsidP="00BD18CC">
      <w:pPr>
        <w:pStyle w:val="Reference"/>
      </w:pPr>
      <w:bookmarkStart w:id="12" w:name="_Ref32472393"/>
      <w:r w:rsidRPr="00293CF1">
        <w:t>3GPP TS 38.21</w:t>
      </w:r>
      <w:r>
        <w:t>3</w:t>
      </w:r>
      <w:r w:rsidRPr="00293CF1">
        <w:t xml:space="preserve"> V16.0.0</w:t>
      </w:r>
      <w:r>
        <w:t xml:space="preserve">, </w:t>
      </w:r>
      <w:r w:rsidR="00C10B52">
        <w:t xml:space="preserve">NR; </w:t>
      </w:r>
      <w:bookmarkStart w:id="13" w:name="_Hlk32471829"/>
      <w:r w:rsidR="00C10B52">
        <w:t>Physical layer procedures for control</w:t>
      </w:r>
      <w:bookmarkEnd w:id="13"/>
      <w:r>
        <w:t>, RAN#86, December 2019</w:t>
      </w:r>
      <w:bookmarkEnd w:id="12"/>
    </w:p>
    <w:p w14:paraId="0A9F36FD" w14:textId="3D24A6EB" w:rsidR="00293CF1" w:rsidRDefault="00293CF1" w:rsidP="00293CF1">
      <w:pPr>
        <w:pStyle w:val="Reference"/>
      </w:pPr>
      <w:bookmarkStart w:id="14" w:name="_Ref32472394"/>
      <w:r w:rsidRPr="00293CF1">
        <w:t>3GPP TS 38.21</w:t>
      </w:r>
      <w:r>
        <w:t>4</w:t>
      </w:r>
      <w:r w:rsidRPr="00293CF1">
        <w:t xml:space="preserve"> V16.0.0</w:t>
      </w:r>
      <w:r>
        <w:t xml:space="preserve">, NR; </w:t>
      </w:r>
      <w:r w:rsidR="00C10B52">
        <w:t>Physical layer procedures for data</w:t>
      </w:r>
      <w:r>
        <w:t>, RAN#86, December 2019</w:t>
      </w:r>
      <w:bookmarkEnd w:id="14"/>
    </w:p>
    <w:p w14:paraId="190D340C" w14:textId="3CC40DC1" w:rsidR="00293CF1" w:rsidRDefault="00293CF1" w:rsidP="00293CF1">
      <w:pPr>
        <w:pStyle w:val="Reference"/>
      </w:pPr>
      <w:bookmarkStart w:id="15" w:name="_Ref32472361"/>
      <w:r w:rsidRPr="00293CF1">
        <w:t>3GPP TS 38.21</w:t>
      </w:r>
      <w:r>
        <w:t>5</w:t>
      </w:r>
      <w:r w:rsidRPr="00293CF1">
        <w:t xml:space="preserve"> V16.0.0</w:t>
      </w:r>
      <w:r>
        <w:t>, NR;</w:t>
      </w:r>
      <w:r w:rsidR="00C10B52" w:rsidRPr="00C10B52">
        <w:t xml:space="preserve"> Physical layer measurements</w:t>
      </w:r>
      <w:r>
        <w:t>, RAN#86, December 2019</w:t>
      </w:r>
      <w:bookmarkEnd w:id="15"/>
    </w:p>
    <w:bookmarkEnd w:id="8"/>
    <w:bookmarkEnd w:id="9"/>
    <w:p w14:paraId="78B001C2"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45C86" w14:textId="77777777" w:rsidR="007821E0" w:rsidRDefault="007821E0">
      <w:r>
        <w:separator/>
      </w:r>
    </w:p>
  </w:endnote>
  <w:endnote w:type="continuationSeparator" w:id="0">
    <w:p w14:paraId="0304BB9E" w14:textId="77777777" w:rsidR="007821E0" w:rsidRDefault="0078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EA2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0BA29" w14:textId="77777777" w:rsidR="007821E0" w:rsidRDefault="007821E0">
      <w:r>
        <w:separator/>
      </w:r>
    </w:p>
  </w:footnote>
  <w:footnote w:type="continuationSeparator" w:id="0">
    <w:p w14:paraId="0BBF6CF4" w14:textId="77777777" w:rsidR="007821E0" w:rsidRDefault="00782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8AF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BCD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20E7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EF0060"/>
    <w:multiLevelType w:val="hybridMultilevel"/>
    <w:tmpl w:val="0B703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55548A"/>
    <w:multiLevelType w:val="hybridMultilevel"/>
    <w:tmpl w:val="F90CDB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4"/>
  </w:num>
  <w:num w:numId="21">
    <w:abstractNumId w:val="10"/>
  </w:num>
  <w:num w:numId="22">
    <w:abstractNumId w:val="21"/>
  </w:num>
  <w:num w:numId="23">
    <w:abstractNumId w:val="22"/>
  </w:num>
  <w:num w:numId="24">
    <w:abstractNumId w:val="23"/>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E0"/>
    <w:rsid w:val="000006E1"/>
    <w:rsid w:val="00002A37"/>
    <w:rsid w:val="0000564C"/>
    <w:rsid w:val="00006446"/>
    <w:rsid w:val="00006896"/>
    <w:rsid w:val="00007CDC"/>
    <w:rsid w:val="00011B28"/>
    <w:rsid w:val="00015D15"/>
    <w:rsid w:val="00016FCB"/>
    <w:rsid w:val="0002564D"/>
    <w:rsid w:val="00025ECA"/>
    <w:rsid w:val="000325B8"/>
    <w:rsid w:val="00034C15"/>
    <w:rsid w:val="00036BA1"/>
    <w:rsid w:val="00041CA5"/>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CC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89A"/>
    <w:rsid w:val="00151E23"/>
    <w:rsid w:val="00151E28"/>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BB6"/>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BC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CF1"/>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493"/>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1A3"/>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688"/>
    <w:rsid w:val="00554E19"/>
    <w:rsid w:val="0056121F"/>
    <w:rsid w:val="00572505"/>
    <w:rsid w:val="00582809"/>
    <w:rsid w:val="0058798C"/>
    <w:rsid w:val="005900FA"/>
    <w:rsid w:val="005935A4"/>
    <w:rsid w:val="005948C2"/>
    <w:rsid w:val="00595DCA"/>
    <w:rsid w:val="0059779B"/>
    <w:rsid w:val="005A209A"/>
    <w:rsid w:val="005A662D"/>
    <w:rsid w:val="005A6E1C"/>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D6E"/>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21E0"/>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AD"/>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3D76"/>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2C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B52"/>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195"/>
    <w:rsid w:val="00F40F0C"/>
    <w:rsid w:val="00F4766C"/>
    <w:rsid w:val="00F5060E"/>
    <w:rsid w:val="00F507D1"/>
    <w:rsid w:val="00F519CE"/>
    <w:rsid w:val="00F51ADA"/>
    <w:rsid w:val="00F60203"/>
    <w:rsid w:val="00F607C5"/>
    <w:rsid w:val="00F60C27"/>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9FA"/>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AB56D"/>
  <w15:chartTrackingRefBased/>
  <w15:docId w15:val="{63350B0B-57B8-422C-9D65-69F4E741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4D6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E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E4D6E"/>
    <w:pPr>
      <w:pBdr>
        <w:top w:val="none" w:sz="0" w:space="0" w:color="auto"/>
      </w:pBdr>
      <w:spacing w:before="180"/>
      <w:outlineLvl w:val="1"/>
    </w:pPr>
    <w:rPr>
      <w:sz w:val="32"/>
    </w:rPr>
  </w:style>
  <w:style w:type="paragraph" w:styleId="Heading3">
    <w:name w:val="heading 3"/>
    <w:basedOn w:val="Heading2"/>
    <w:next w:val="Normal"/>
    <w:link w:val="Heading3Char"/>
    <w:qFormat/>
    <w:rsid w:val="006E4D6E"/>
    <w:pPr>
      <w:spacing w:before="120"/>
      <w:outlineLvl w:val="2"/>
    </w:pPr>
    <w:rPr>
      <w:sz w:val="28"/>
    </w:rPr>
  </w:style>
  <w:style w:type="paragraph" w:styleId="Heading4">
    <w:name w:val="heading 4"/>
    <w:basedOn w:val="Heading3"/>
    <w:next w:val="Normal"/>
    <w:link w:val="Heading4Char"/>
    <w:qFormat/>
    <w:rsid w:val="006E4D6E"/>
    <w:pPr>
      <w:ind w:left="1418" w:hanging="1418"/>
      <w:outlineLvl w:val="3"/>
    </w:pPr>
    <w:rPr>
      <w:sz w:val="24"/>
    </w:rPr>
  </w:style>
  <w:style w:type="paragraph" w:styleId="Heading5">
    <w:name w:val="heading 5"/>
    <w:basedOn w:val="Heading4"/>
    <w:next w:val="Normal"/>
    <w:link w:val="Heading5Char"/>
    <w:qFormat/>
    <w:rsid w:val="006E4D6E"/>
    <w:pPr>
      <w:ind w:left="1701" w:hanging="1701"/>
      <w:outlineLvl w:val="4"/>
    </w:pPr>
    <w:rPr>
      <w:sz w:val="22"/>
    </w:rPr>
  </w:style>
  <w:style w:type="paragraph" w:styleId="Heading6">
    <w:name w:val="heading 6"/>
    <w:basedOn w:val="H6"/>
    <w:next w:val="Normal"/>
    <w:link w:val="Heading6Char"/>
    <w:qFormat/>
    <w:rsid w:val="006E4D6E"/>
    <w:pPr>
      <w:outlineLvl w:val="5"/>
    </w:pPr>
  </w:style>
  <w:style w:type="paragraph" w:styleId="Heading7">
    <w:name w:val="heading 7"/>
    <w:basedOn w:val="H6"/>
    <w:next w:val="Normal"/>
    <w:link w:val="Heading7Char"/>
    <w:qFormat/>
    <w:rsid w:val="006E4D6E"/>
    <w:pPr>
      <w:outlineLvl w:val="6"/>
    </w:pPr>
  </w:style>
  <w:style w:type="paragraph" w:styleId="Heading8">
    <w:name w:val="heading 8"/>
    <w:basedOn w:val="Heading1"/>
    <w:next w:val="Normal"/>
    <w:link w:val="Heading8Char"/>
    <w:qFormat/>
    <w:rsid w:val="006E4D6E"/>
    <w:pPr>
      <w:ind w:left="0" w:firstLine="0"/>
      <w:outlineLvl w:val="7"/>
    </w:pPr>
  </w:style>
  <w:style w:type="paragraph" w:styleId="Heading9">
    <w:name w:val="heading 9"/>
    <w:basedOn w:val="Heading8"/>
    <w:next w:val="Normal"/>
    <w:link w:val="Heading9Char"/>
    <w:qFormat/>
    <w:rsid w:val="006E4D6E"/>
    <w:pPr>
      <w:outlineLvl w:val="8"/>
    </w:pPr>
  </w:style>
  <w:style w:type="character" w:default="1" w:styleId="DefaultParagraphFont">
    <w:name w:val="Default Paragraph Font"/>
    <w:uiPriority w:val="1"/>
    <w:semiHidden/>
    <w:unhideWhenUsed/>
    <w:rsid w:val="006E4D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D6E"/>
  </w:style>
  <w:style w:type="paragraph" w:styleId="TOC8">
    <w:name w:val="toc 8"/>
    <w:basedOn w:val="TOC1"/>
    <w:uiPriority w:val="39"/>
    <w:rsid w:val="006E4D6E"/>
    <w:pPr>
      <w:spacing w:before="180"/>
      <w:ind w:left="2693" w:hanging="2693"/>
    </w:pPr>
    <w:rPr>
      <w:b/>
    </w:rPr>
  </w:style>
  <w:style w:type="paragraph" w:styleId="TOC1">
    <w:name w:val="toc 1"/>
    <w:uiPriority w:val="39"/>
    <w:rsid w:val="006E4D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E4D6E"/>
    <w:pPr>
      <w:keepNext/>
      <w:keepLines/>
      <w:spacing w:before="180"/>
      <w:jc w:val="center"/>
    </w:pPr>
  </w:style>
  <w:style w:type="paragraph" w:styleId="Caption">
    <w:name w:val="caption"/>
    <w:basedOn w:val="Normal"/>
    <w:next w:val="Normal"/>
    <w:qFormat/>
    <w:rsid w:val="006E4D6E"/>
    <w:pPr>
      <w:spacing w:before="120" w:after="120"/>
    </w:pPr>
    <w:rPr>
      <w:b/>
      <w:lang w:eastAsia="en-GB"/>
    </w:rPr>
  </w:style>
  <w:style w:type="paragraph" w:styleId="TOC5">
    <w:name w:val="toc 5"/>
    <w:basedOn w:val="TOC4"/>
    <w:uiPriority w:val="39"/>
    <w:rsid w:val="006E4D6E"/>
    <w:pPr>
      <w:ind w:left="1701" w:hanging="1701"/>
    </w:pPr>
  </w:style>
  <w:style w:type="paragraph" w:styleId="TOC4">
    <w:name w:val="toc 4"/>
    <w:basedOn w:val="TOC3"/>
    <w:uiPriority w:val="39"/>
    <w:rsid w:val="006E4D6E"/>
    <w:pPr>
      <w:ind w:left="1418" w:hanging="1418"/>
    </w:pPr>
  </w:style>
  <w:style w:type="paragraph" w:styleId="TOC3">
    <w:name w:val="toc 3"/>
    <w:basedOn w:val="TOC2"/>
    <w:uiPriority w:val="39"/>
    <w:rsid w:val="006E4D6E"/>
    <w:pPr>
      <w:ind w:left="1134" w:hanging="1134"/>
    </w:pPr>
  </w:style>
  <w:style w:type="paragraph" w:styleId="TOC2">
    <w:name w:val="toc 2"/>
    <w:basedOn w:val="TOC1"/>
    <w:uiPriority w:val="39"/>
    <w:rsid w:val="006E4D6E"/>
    <w:pPr>
      <w:keepNext w:val="0"/>
      <w:spacing w:before="0"/>
      <w:ind w:left="851" w:hanging="851"/>
    </w:pPr>
    <w:rPr>
      <w:sz w:val="20"/>
    </w:rPr>
  </w:style>
  <w:style w:type="paragraph" w:styleId="Index2">
    <w:name w:val="index 2"/>
    <w:basedOn w:val="Index1"/>
    <w:rsid w:val="006E4D6E"/>
    <w:pPr>
      <w:ind w:left="284"/>
    </w:pPr>
  </w:style>
  <w:style w:type="paragraph" w:styleId="Index1">
    <w:name w:val="index 1"/>
    <w:basedOn w:val="Normal"/>
    <w:rsid w:val="006E4D6E"/>
    <w:pPr>
      <w:keepLines/>
      <w:spacing w:after="0"/>
    </w:pPr>
  </w:style>
  <w:style w:type="paragraph" w:styleId="DocumentMap">
    <w:name w:val="Document Map"/>
    <w:basedOn w:val="Normal"/>
    <w:link w:val="DocumentMapChar"/>
    <w:rsid w:val="006E4D6E"/>
    <w:pPr>
      <w:shd w:val="clear" w:color="auto" w:fill="000080"/>
    </w:pPr>
    <w:rPr>
      <w:rFonts w:ascii="Tahoma" w:hAnsi="Tahoma" w:cs="Tahoma"/>
    </w:rPr>
  </w:style>
  <w:style w:type="paragraph" w:styleId="ListNumber2">
    <w:name w:val="List Number 2"/>
    <w:basedOn w:val="ListNumber"/>
    <w:rsid w:val="006E4D6E"/>
    <w:pPr>
      <w:numPr>
        <w:numId w:val="22"/>
      </w:numPr>
    </w:pPr>
  </w:style>
  <w:style w:type="paragraph" w:styleId="ListNumber">
    <w:name w:val="List Number"/>
    <w:basedOn w:val="List"/>
    <w:rsid w:val="006E4D6E"/>
    <w:pPr>
      <w:numPr>
        <w:numId w:val="21"/>
      </w:numPr>
    </w:pPr>
    <w:rPr>
      <w:lang w:eastAsia="ja-JP"/>
    </w:rPr>
  </w:style>
  <w:style w:type="paragraph" w:styleId="List">
    <w:name w:val="List"/>
    <w:basedOn w:val="BodyText"/>
    <w:rsid w:val="006E4D6E"/>
    <w:pPr>
      <w:ind w:left="568" w:hanging="284"/>
    </w:pPr>
  </w:style>
  <w:style w:type="paragraph" w:styleId="Header">
    <w:name w:val="header"/>
    <w:link w:val="HeaderChar"/>
    <w:rsid w:val="006E4D6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E4D6E"/>
    <w:rPr>
      <w:b/>
      <w:position w:val="6"/>
      <w:sz w:val="16"/>
    </w:rPr>
  </w:style>
  <w:style w:type="paragraph" w:styleId="FootnoteText">
    <w:name w:val="footnote text"/>
    <w:basedOn w:val="Normal"/>
    <w:link w:val="FootnoteTextChar"/>
    <w:rsid w:val="006E4D6E"/>
    <w:pPr>
      <w:keepLines/>
      <w:spacing w:after="0"/>
      <w:ind w:left="454" w:hanging="454"/>
    </w:pPr>
    <w:rPr>
      <w:sz w:val="16"/>
    </w:rPr>
  </w:style>
  <w:style w:type="paragraph" w:customStyle="1" w:styleId="3GPPHeader">
    <w:name w:val="3GPP_Header"/>
    <w:basedOn w:val="BodyText"/>
    <w:rsid w:val="006E4D6E"/>
    <w:pPr>
      <w:tabs>
        <w:tab w:val="left" w:pos="1701"/>
        <w:tab w:val="right" w:pos="9639"/>
      </w:tabs>
      <w:spacing w:after="240"/>
    </w:pPr>
    <w:rPr>
      <w:b/>
      <w:sz w:val="24"/>
    </w:rPr>
  </w:style>
  <w:style w:type="paragraph" w:styleId="TOC9">
    <w:name w:val="toc 9"/>
    <w:basedOn w:val="TOC8"/>
    <w:uiPriority w:val="39"/>
    <w:rsid w:val="006E4D6E"/>
    <w:pPr>
      <w:ind w:left="1418" w:hanging="1418"/>
    </w:pPr>
  </w:style>
  <w:style w:type="paragraph" w:styleId="TOC6">
    <w:name w:val="toc 6"/>
    <w:basedOn w:val="TOC5"/>
    <w:next w:val="Normal"/>
    <w:uiPriority w:val="39"/>
    <w:rsid w:val="006E4D6E"/>
    <w:pPr>
      <w:ind w:left="1985" w:hanging="1985"/>
    </w:pPr>
  </w:style>
  <w:style w:type="paragraph" w:styleId="TOC7">
    <w:name w:val="toc 7"/>
    <w:basedOn w:val="TOC6"/>
    <w:next w:val="Normal"/>
    <w:uiPriority w:val="39"/>
    <w:rsid w:val="006E4D6E"/>
    <w:pPr>
      <w:ind w:left="2268" w:hanging="2268"/>
    </w:pPr>
  </w:style>
  <w:style w:type="paragraph" w:styleId="ListBullet2">
    <w:name w:val="List Bullet 2"/>
    <w:basedOn w:val="ListBullet"/>
    <w:rsid w:val="006E4D6E"/>
    <w:pPr>
      <w:numPr>
        <w:numId w:val="17"/>
      </w:numPr>
    </w:pPr>
  </w:style>
  <w:style w:type="paragraph" w:styleId="ListBullet">
    <w:name w:val="List Bullet"/>
    <w:basedOn w:val="List"/>
    <w:rsid w:val="006E4D6E"/>
    <w:pPr>
      <w:numPr>
        <w:numId w:val="16"/>
      </w:numPr>
    </w:pPr>
    <w:rPr>
      <w:lang w:eastAsia="ja-JP"/>
    </w:rPr>
  </w:style>
  <w:style w:type="paragraph" w:styleId="ListBullet3">
    <w:name w:val="List Bullet 3"/>
    <w:basedOn w:val="ListBullet2"/>
    <w:rsid w:val="006E4D6E"/>
    <w:pPr>
      <w:numPr>
        <w:numId w:val="18"/>
      </w:numPr>
    </w:pPr>
  </w:style>
  <w:style w:type="paragraph" w:customStyle="1" w:styleId="EQ">
    <w:name w:val="EQ"/>
    <w:basedOn w:val="Normal"/>
    <w:next w:val="Normal"/>
    <w:rsid w:val="006E4D6E"/>
    <w:pPr>
      <w:keepLines/>
      <w:tabs>
        <w:tab w:val="center" w:pos="4536"/>
        <w:tab w:val="right" w:pos="9072"/>
      </w:tabs>
    </w:pPr>
    <w:rPr>
      <w:noProof/>
    </w:rPr>
  </w:style>
  <w:style w:type="paragraph" w:styleId="List2">
    <w:name w:val="List 2"/>
    <w:basedOn w:val="List"/>
    <w:rsid w:val="006E4D6E"/>
    <w:pPr>
      <w:ind w:left="851"/>
    </w:pPr>
    <w:rPr>
      <w:lang w:eastAsia="ja-JP"/>
    </w:rPr>
  </w:style>
  <w:style w:type="paragraph" w:styleId="List3">
    <w:name w:val="List 3"/>
    <w:basedOn w:val="List2"/>
    <w:rsid w:val="006E4D6E"/>
    <w:pPr>
      <w:ind w:left="1135"/>
    </w:pPr>
  </w:style>
  <w:style w:type="paragraph" w:styleId="List4">
    <w:name w:val="List 4"/>
    <w:basedOn w:val="List3"/>
    <w:rsid w:val="006E4D6E"/>
    <w:pPr>
      <w:ind w:left="1418"/>
    </w:pPr>
  </w:style>
  <w:style w:type="paragraph" w:styleId="List5">
    <w:name w:val="List 5"/>
    <w:basedOn w:val="List4"/>
    <w:rsid w:val="006E4D6E"/>
    <w:pPr>
      <w:ind w:left="1702"/>
    </w:pPr>
  </w:style>
  <w:style w:type="paragraph" w:customStyle="1" w:styleId="EditorsNote">
    <w:name w:val="Editor's Note"/>
    <w:basedOn w:val="NO"/>
    <w:link w:val="EditorsNoteChar"/>
    <w:rsid w:val="006E4D6E"/>
    <w:rPr>
      <w:color w:val="FF0000"/>
      <w:lang w:val="x-none" w:eastAsia="x-none"/>
    </w:rPr>
  </w:style>
  <w:style w:type="paragraph" w:styleId="ListBullet4">
    <w:name w:val="List Bullet 4"/>
    <w:basedOn w:val="ListBullet3"/>
    <w:rsid w:val="006E4D6E"/>
    <w:pPr>
      <w:numPr>
        <w:numId w:val="19"/>
      </w:numPr>
    </w:pPr>
  </w:style>
  <w:style w:type="paragraph" w:styleId="ListBullet5">
    <w:name w:val="List Bullet 5"/>
    <w:basedOn w:val="ListBullet4"/>
    <w:rsid w:val="006E4D6E"/>
    <w:pPr>
      <w:numPr>
        <w:numId w:val="20"/>
      </w:numPr>
    </w:pPr>
  </w:style>
  <w:style w:type="paragraph" w:styleId="Footer">
    <w:name w:val="footer"/>
    <w:basedOn w:val="Header"/>
    <w:link w:val="FooterChar"/>
    <w:rsid w:val="006E4D6E"/>
    <w:pPr>
      <w:jc w:val="center"/>
    </w:pPr>
    <w:rPr>
      <w:i/>
    </w:rPr>
  </w:style>
  <w:style w:type="paragraph" w:customStyle="1" w:styleId="Reference">
    <w:name w:val="Reference"/>
    <w:basedOn w:val="BodyText"/>
    <w:rsid w:val="006E4D6E"/>
    <w:pPr>
      <w:numPr>
        <w:numId w:val="2"/>
      </w:numPr>
    </w:pPr>
  </w:style>
  <w:style w:type="paragraph" w:styleId="BalloonText">
    <w:name w:val="Balloon Text"/>
    <w:basedOn w:val="Normal"/>
    <w:link w:val="BalloonTextChar"/>
    <w:rsid w:val="006E4D6E"/>
    <w:pPr>
      <w:spacing w:after="0"/>
    </w:pPr>
    <w:rPr>
      <w:rFonts w:ascii="Segoe UI" w:hAnsi="Segoe UI" w:cs="Segoe UI"/>
      <w:sz w:val="18"/>
      <w:szCs w:val="18"/>
    </w:rPr>
  </w:style>
  <w:style w:type="character" w:styleId="PageNumber">
    <w:name w:val="page number"/>
    <w:basedOn w:val="DefaultParagraphFont"/>
    <w:rsid w:val="006E4D6E"/>
  </w:style>
  <w:style w:type="paragraph" w:styleId="BodyText">
    <w:name w:val="Body Text"/>
    <w:basedOn w:val="Normal"/>
    <w:link w:val="BodyTextChar"/>
    <w:qFormat/>
    <w:rsid w:val="006E4D6E"/>
    <w:pPr>
      <w:spacing w:after="120"/>
      <w:jc w:val="both"/>
    </w:pPr>
    <w:rPr>
      <w:rFonts w:ascii="Arial" w:hAnsi="Arial"/>
      <w:lang w:eastAsia="zh-CN"/>
    </w:rPr>
  </w:style>
  <w:style w:type="character" w:styleId="Hyperlink">
    <w:name w:val="Hyperlink"/>
    <w:uiPriority w:val="99"/>
    <w:rsid w:val="006E4D6E"/>
    <w:rPr>
      <w:color w:val="0000FF"/>
      <w:u w:val="single"/>
    </w:rPr>
  </w:style>
  <w:style w:type="character" w:styleId="FollowedHyperlink">
    <w:name w:val="FollowedHyperlink"/>
    <w:unhideWhenUsed/>
    <w:rsid w:val="006E4D6E"/>
    <w:rPr>
      <w:color w:val="800080"/>
      <w:u w:val="single"/>
    </w:rPr>
  </w:style>
  <w:style w:type="character" w:styleId="CommentReference">
    <w:name w:val="annotation reference"/>
    <w:uiPriority w:val="99"/>
    <w:qFormat/>
    <w:rsid w:val="006E4D6E"/>
    <w:rPr>
      <w:sz w:val="16"/>
      <w:szCs w:val="16"/>
    </w:rPr>
  </w:style>
  <w:style w:type="paragraph" w:styleId="CommentText">
    <w:name w:val="annotation text"/>
    <w:basedOn w:val="Normal"/>
    <w:link w:val="CommentTextChar"/>
    <w:uiPriority w:val="99"/>
    <w:qFormat/>
    <w:rsid w:val="006E4D6E"/>
  </w:style>
  <w:style w:type="paragraph" w:styleId="CommentSubject">
    <w:name w:val="annotation subject"/>
    <w:basedOn w:val="CommentText"/>
    <w:next w:val="CommentText"/>
    <w:link w:val="CommentSubjectChar"/>
    <w:rsid w:val="006E4D6E"/>
    <w:rPr>
      <w:b/>
      <w:bCs/>
    </w:rPr>
  </w:style>
  <w:style w:type="character" w:customStyle="1" w:styleId="Heading1Char">
    <w:name w:val="Heading 1 Char"/>
    <w:link w:val="Heading1"/>
    <w:rsid w:val="006E4D6E"/>
    <w:rPr>
      <w:rFonts w:ascii="Arial" w:hAnsi="Arial"/>
      <w:sz w:val="36"/>
      <w:lang w:eastAsia="ja-JP"/>
    </w:rPr>
  </w:style>
  <w:style w:type="paragraph" w:customStyle="1" w:styleId="B1">
    <w:name w:val="B1"/>
    <w:basedOn w:val="List"/>
    <w:link w:val="B1Char1"/>
    <w:rsid w:val="006E4D6E"/>
    <w:rPr>
      <w:rFonts w:ascii="Times New Roman" w:hAnsi="Times New Roman"/>
    </w:rPr>
  </w:style>
  <w:style w:type="paragraph" w:customStyle="1" w:styleId="B2">
    <w:name w:val="B2"/>
    <w:basedOn w:val="List2"/>
    <w:link w:val="B2Char"/>
    <w:rsid w:val="006E4D6E"/>
    <w:rPr>
      <w:rFonts w:ascii="Times New Roman" w:hAnsi="Times New Roman"/>
    </w:rPr>
  </w:style>
  <w:style w:type="paragraph" w:customStyle="1" w:styleId="B3">
    <w:name w:val="B3"/>
    <w:basedOn w:val="List3"/>
    <w:link w:val="B3Char2"/>
    <w:rsid w:val="006E4D6E"/>
    <w:rPr>
      <w:rFonts w:ascii="Times New Roman" w:hAnsi="Times New Roman"/>
    </w:rPr>
  </w:style>
  <w:style w:type="paragraph" w:customStyle="1" w:styleId="B4">
    <w:name w:val="B4"/>
    <w:basedOn w:val="List4"/>
    <w:link w:val="B4Char"/>
    <w:rsid w:val="006E4D6E"/>
    <w:rPr>
      <w:rFonts w:ascii="Times New Roman" w:hAnsi="Times New Roman"/>
    </w:rPr>
  </w:style>
  <w:style w:type="paragraph" w:customStyle="1" w:styleId="Proposal">
    <w:name w:val="Proposal"/>
    <w:basedOn w:val="BodyText"/>
    <w:qFormat/>
    <w:rsid w:val="006E4D6E"/>
    <w:pPr>
      <w:numPr>
        <w:numId w:val="3"/>
      </w:numPr>
      <w:tabs>
        <w:tab w:val="clear" w:pos="1304"/>
        <w:tab w:val="left" w:pos="1701"/>
      </w:tabs>
      <w:ind w:left="1701" w:hanging="1701"/>
    </w:pPr>
    <w:rPr>
      <w:b/>
      <w:bCs/>
    </w:rPr>
  </w:style>
  <w:style w:type="character" w:customStyle="1" w:styleId="BodyTextChar">
    <w:name w:val="Body Text Char"/>
    <w:link w:val="BodyText"/>
    <w:rsid w:val="006E4D6E"/>
    <w:rPr>
      <w:rFonts w:ascii="Arial" w:hAnsi="Arial"/>
      <w:lang w:eastAsia="zh-CN"/>
    </w:rPr>
  </w:style>
  <w:style w:type="paragraph" w:customStyle="1" w:styleId="B5">
    <w:name w:val="B5"/>
    <w:basedOn w:val="List5"/>
    <w:link w:val="B5Char"/>
    <w:rsid w:val="006E4D6E"/>
    <w:rPr>
      <w:rFonts w:ascii="Times New Roman" w:hAnsi="Times New Roman"/>
    </w:rPr>
  </w:style>
  <w:style w:type="paragraph" w:customStyle="1" w:styleId="EX">
    <w:name w:val="EX"/>
    <w:basedOn w:val="Normal"/>
    <w:rsid w:val="006E4D6E"/>
    <w:pPr>
      <w:keepLines/>
      <w:ind w:left="1702" w:hanging="1418"/>
    </w:pPr>
  </w:style>
  <w:style w:type="paragraph" w:customStyle="1" w:styleId="EW">
    <w:name w:val="EW"/>
    <w:basedOn w:val="EX"/>
    <w:rsid w:val="006E4D6E"/>
    <w:pPr>
      <w:spacing w:after="0"/>
    </w:pPr>
  </w:style>
  <w:style w:type="paragraph" w:customStyle="1" w:styleId="TAL">
    <w:name w:val="TAL"/>
    <w:basedOn w:val="Normal"/>
    <w:link w:val="TALCar"/>
    <w:rsid w:val="006E4D6E"/>
    <w:pPr>
      <w:keepNext/>
      <w:keepLines/>
      <w:spacing w:after="0"/>
    </w:pPr>
    <w:rPr>
      <w:rFonts w:ascii="Arial" w:hAnsi="Arial"/>
      <w:sz w:val="18"/>
      <w:lang w:val="x-none" w:eastAsia="x-none"/>
    </w:rPr>
  </w:style>
  <w:style w:type="paragraph" w:customStyle="1" w:styleId="TAC">
    <w:name w:val="TAC"/>
    <w:basedOn w:val="TAL"/>
    <w:rsid w:val="006E4D6E"/>
    <w:pPr>
      <w:jc w:val="center"/>
    </w:pPr>
  </w:style>
  <w:style w:type="paragraph" w:customStyle="1" w:styleId="TAH">
    <w:name w:val="TAH"/>
    <w:basedOn w:val="TAC"/>
    <w:link w:val="TAHCar"/>
    <w:rsid w:val="006E4D6E"/>
    <w:rPr>
      <w:b/>
    </w:rPr>
  </w:style>
  <w:style w:type="paragraph" w:customStyle="1" w:styleId="TAN">
    <w:name w:val="TAN"/>
    <w:basedOn w:val="TAL"/>
    <w:rsid w:val="006E4D6E"/>
    <w:pPr>
      <w:ind w:left="851" w:hanging="851"/>
    </w:pPr>
  </w:style>
  <w:style w:type="paragraph" w:customStyle="1" w:styleId="TAR">
    <w:name w:val="TAR"/>
    <w:basedOn w:val="TAL"/>
    <w:rsid w:val="006E4D6E"/>
    <w:pPr>
      <w:jc w:val="right"/>
    </w:pPr>
  </w:style>
  <w:style w:type="paragraph" w:customStyle="1" w:styleId="TH">
    <w:name w:val="TH"/>
    <w:basedOn w:val="Normal"/>
    <w:link w:val="THChar"/>
    <w:qFormat/>
    <w:rsid w:val="006E4D6E"/>
    <w:pPr>
      <w:keepNext/>
      <w:keepLines/>
      <w:spacing w:before="60"/>
      <w:jc w:val="center"/>
    </w:pPr>
    <w:rPr>
      <w:rFonts w:ascii="Arial" w:hAnsi="Arial"/>
      <w:b/>
      <w:lang w:val="x-none" w:eastAsia="x-none"/>
    </w:rPr>
  </w:style>
  <w:style w:type="paragraph" w:customStyle="1" w:styleId="TF">
    <w:name w:val="TF"/>
    <w:basedOn w:val="TH"/>
    <w:link w:val="TFChar"/>
    <w:qFormat/>
    <w:rsid w:val="006E4D6E"/>
    <w:pPr>
      <w:keepNext w:val="0"/>
      <w:spacing w:before="0" w:after="240"/>
    </w:pPr>
  </w:style>
  <w:style w:type="paragraph" w:customStyle="1" w:styleId="TT">
    <w:name w:val="TT"/>
    <w:basedOn w:val="Heading1"/>
    <w:next w:val="Normal"/>
    <w:rsid w:val="006E4D6E"/>
    <w:pPr>
      <w:outlineLvl w:val="9"/>
    </w:pPr>
  </w:style>
  <w:style w:type="paragraph" w:customStyle="1" w:styleId="ZA">
    <w:name w:val="ZA"/>
    <w:rsid w:val="006E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E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E4D6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E4D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E4D6E"/>
  </w:style>
  <w:style w:type="paragraph" w:customStyle="1" w:styleId="ZH">
    <w:name w:val="ZH"/>
    <w:rsid w:val="006E4D6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E4D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E4D6E"/>
    <w:pPr>
      <w:framePr w:hRule="auto" w:wrap="notBeside" w:y="852"/>
    </w:pPr>
    <w:rPr>
      <w:i w:val="0"/>
      <w:sz w:val="40"/>
    </w:rPr>
  </w:style>
  <w:style w:type="paragraph" w:customStyle="1" w:styleId="ZU">
    <w:name w:val="ZU"/>
    <w:rsid w:val="006E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E4D6E"/>
    <w:pPr>
      <w:framePr w:wrap="notBeside" w:y="16161"/>
    </w:pPr>
  </w:style>
  <w:style w:type="paragraph" w:customStyle="1" w:styleId="FP">
    <w:name w:val="FP"/>
    <w:basedOn w:val="Normal"/>
    <w:rsid w:val="006E4D6E"/>
    <w:pPr>
      <w:spacing w:after="0"/>
    </w:pPr>
  </w:style>
  <w:style w:type="paragraph" w:customStyle="1" w:styleId="Observation">
    <w:name w:val="Observation"/>
    <w:basedOn w:val="Proposal"/>
    <w:qFormat/>
    <w:rsid w:val="006E4D6E"/>
    <w:pPr>
      <w:numPr>
        <w:numId w:val="13"/>
      </w:numPr>
      <w:ind w:left="1701" w:hanging="1701"/>
    </w:pPr>
    <w:rPr>
      <w:lang w:eastAsia="ja-JP"/>
    </w:rPr>
  </w:style>
  <w:style w:type="paragraph" w:styleId="TableofFigures">
    <w:name w:val="table of figures"/>
    <w:basedOn w:val="BodyText"/>
    <w:next w:val="Normal"/>
    <w:uiPriority w:val="99"/>
    <w:rsid w:val="006E4D6E"/>
    <w:pPr>
      <w:ind w:left="1701" w:hanging="1701"/>
      <w:jc w:val="left"/>
    </w:pPr>
    <w:rPr>
      <w:b/>
    </w:rPr>
  </w:style>
  <w:style w:type="character" w:customStyle="1" w:styleId="B1Char1">
    <w:name w:val="B1 Char1"/>
    <w:link w:val="B1"/>
    <w:qFormat/>
    <w:rsid w:val="006E4D6E"/>
    <w:rPr>
      <w:rFonts w:ascii="Times New Roman" w:hAnsi="Times New Roman"/>
      <w:lang w:eastAsia="zh-CN"/>
    </w:rPr>
  </w:style>
  <w:style w:type="character" w:customStyle="1" w:styleId="B2Char">
    <w:name w:val="B2 Char"/>
    <w:link w:val="B2"/>
    <w:qFormat/>
    <w:rsid w:val="006E4D6E"/>
    <w:rPr>
      <w:rFonts w:ascii="Times New Roman" w:hAnsi="Times New Roman"/>
      <w:lang w:eastAsia="ja-JP"/>
    </w:rPr>
  </w:style>
  <w:style w:type="character" w:customStyle="1" w:styleId="B3Char2">
    <w:name w:val="B3 Char2"/>
    <w:link w:val="B3"/>
    <w:qFormat/>
    <w:rsid w:val="006E4D6E"/>
    <w:rPr>
      <w:rFonts w:ascii="Times New Roman" w:hAnsi="Times New Roman"/>
      <w:lang w:eastAsia="ja-JP"/>
    </w:rPr>
  </w:style>
  <w:style w:type="character" w:customStyle="1" w:styleId="B4Char">
    <w:name w:val="B4 Char"/>
    <w:link w:val="B4"/>
    <w:rsid w:val="006E4D6E"/>
    <w:rPr>
      <w:rFonts w:ascii="Times New Roman" w:hAnsi="Times New Roman"/>
      <w:lang w:eastAsia="ja-JP"/>
    </w:rPr>
  </w:style>
  <w:style w:type="character" w:customStyle="1" w:styleId="B5Char">
    <w:name w:val="B5 Char"/>
    <w:link w:val="B5"/>
    <w:rsid w:val="006E4D6E"/>
    <w:rPr>
      <w:rFonts w:ascii="Times New Roman" w:hAnsi="Times New Roman"/>
      <w:lang w:eastAsia="ja-JP"/>
    </w:rPr>
  </w:style>
  <w:style w:type="paragraph" w:customStyle="1" w:styleId="B6">
    <w:name w:val="B6"/>
    <w:basedOn w:val="B5"/>
    <w:link w:val="B6Char"/>
    <w:rsid w:val="006E4D6E"/>
    <w:pPr>
      <w:ind w:left="1985"/>
    </w:pPr>
  </w:style>
  <w:style w:type="character" w:customStyle="1" w:styleId="B6Char">
    <w:name w:val="B6 Char"/>
    <w:link w:val="B6"/>
    <w:rsid w:val="006E4D6E"/>
    <w:rPr>
      <w:rFonts w:ascii="Times New Roman" w:hAnsi="Times New Roman"/>
      <w:lang w:eastAsia="ja-JP"/>
    </w:rPr>
  </w:style>
  <w:style w:type="paragraph" w:customStyle="1" w:styleId="B7">
    <w:name w:val="B7"/>
    <w:basedOn w:val="B6"/>
    <w:link w:val="B7Char"/>
    <w:rsid w:val="006E4D6E"/>
    <w:pPr>
      <w:ind w:left="2269"/>
    </w:pPr>
  </w:style>
  <w:style w:type="character" w:customStyle="1" w:styleId="B7Char">
    <w:name w:val="B7 Char"/>
    <w:basedOn w:val="B6Char"/>
    <w:link w:val="B7"/>
    <w:rsid w:val="006E4D6E"/>
    <w:rPr>
      <w:rFonts w:ascii="Times New Roman" w:hAnsi="Times New Roman"/>
      <w:lang w:eastAsia="ja-JP"/>
    </w:rPr>
  </w:style>
  <w:style w:type="paragraph" w:customStyle="1" w:styleId="B8">
    <w:name w:val="B8"/>
    <w:basedOn w:val="B7"/>
    <w:qFormat/>
    <w:rsid w:val="006E4D6E"/>
    <w:pPr>
      <w:ind w:left="2552"/>
    </w:pPr>
  </w:style>
  <w:style w:type="character" w:customStyle="1" w:styleId="BalloonTextChar">
    <w:name w:val="Balloon Text Char"/>
    <w:link w:val="BalloonText"/>
    <w:rsid w:val="006E4D6E"/>
    <w:rPr>
      <w:rFonts w:ascii="Segoe UI" w:hAnsi="Segoe UI" w:cs="Segoe UI"/>
      <w:sz w:val="18"/>
      <w:szCs w:val="18"/>
      <w:lang w:eastAsia="ja-JP"/>
    </w:rPr>
  </w:style>
  <w:style w:type="character" w:customStyle="1" w:styleId="CommentTextChar">
    <w:name w:val="Comment Text Char"/>
    <w:link w:val="CommentText"/>
    <w:uiPriority w:val="99"/>
    <w:qFormat/>
    <w:rsid w:val="006E4D6E"/>
    <w:rPr>
      <w:rFonts w:ascii="Times New Roman" w:hAnsi="Times New Roman"/>
      <w:lang w:eastAsia="ja-JP"/>
    </w:rPr>
  </w:style>
  <w:style w:type="character" w:customStyle="1" w:styleId="CommentSubjectChar">
    <w:name w:val="Comment Subject Char"/>
    <w:link w:val="CommentSubject"/>
    <w:rsid w:val="006E4D6E"/>
    <w:rPr>
      <w:rFonts w:ascii="Times New Roman" w:hAnsi="Times New Roman"/>
      <w:b/>
      <w:bCs/>
      <w:lang w:eastAsia="ja-JP"/>
    </w:rPr>
  </w:style>
  <w:style w:type="paragraph" w:customStyle="1" w:styleId="CRCoverPage">
    <w:name w:val="CR Cover Page"/>
    <w:link w:val="CRCoverPageZchn"/>
    <w:rsid w:val="006E4D6E"/>
    <w:pPr>
      <w:spacing w:after="120"/>
    </w:pPr>
    <w:rPr>
      <w:rFonts w:ascii="Arial" w:hAnsi="Arial"/>
      <w:lang w:eastAsia="ko-KR"/>
    </w:rPr>
  </w:style>
  <w:style w:type="character" w:customStyle="1" w:styleId="CRCoverPageZchn">
    <w:name w:val="CR Cover Page Zchn"/>
    <w:link w:val="CRCoverPage"/>
    <w:rsid w:val="006E4D6E"/>
    <w:rPr>
      <w:rFonts w:ascii="Arial" w:hAnsi="Arial"/>
      <w:lang w:eastAsia="ko-KR"/>
    </w:rPr>
  </w:style>
  <w:style w:type="paragraph" w:customStyle="1" w:styleId="Doc-text2">
    <w:name w:val="Doc-text2"/>
    <w:basedOn w:val="Normal"/>
    <w:link w:val="Doc-text2Char"/>
    <w:qFormat/>
    <w:rsid w:val="006E4D6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E4D6E"/>
    <w:rPr>
      <w:rFonts w:ascii="Arial" w:eastAsia="MS Mincho" w:hAnsi="Arial"/>
      <w:szCs w:val="24"/>
      <w:lang w:val="x-none" w:eastAsia="x-none"/>
    </w:rPr>
  </w:style>
  <w:style w:type="character" w:customStyle="1" w:styleId="DocumentMapChar">
    <w:name w:val="Document Map Char"/>
    <w:link w:val="DocumentMap"/>
    <w:rsid w:val="006E4D6E"/>
    <w:rPr>
      <w:rFonts w:ascii="Tahoma" w:hAnsi="Tahoma" w:cs="Tahoma"/>
      <w:shd w:val="clear" w:color="auto" w:fill="000080"/>
      <w:lang w:eastAsia="ja-JP"/>
    </w:rPr>
  </w:style>
  <w:style w:type="paragraph" w:customStyle="1" w:styleId="NO">
    <w:name w:val="NO"/>
    <w:basedOn w:val="Normal"/>
    <w:link w:val="NOChar"/>
    <w:rsid w:val="006E4D6E"/>
    <w:pPr>
      <w:keepLines/>
      <w:ind w:left="1135" w:hanging="851"/>
    </w:pPr>
  </w:style>
  <w:style w:type="character" w:customStyle="1" w:styleId="NOChar">
    <w:name w:val="NO Char"/>
    <w:link w:val="NO"/>
    <w:qFormat/>
    <w:rsid w:val="006E4D6E"/>
    <w:rPr>
      <w:rFonts w:ascii="Times New Roman" w:hAnsi="Times New Roman"/>
      <w:lang w:eastAsia="ja-JP"/>
    </w:rPr>
  </w:style>
  <w:style w:type="character" w:customStyle="1" w:styleId="EditorsNoteChar">
    <w:name w:val="Editor's Note Char"/>
    <w:link w:val="EditorsNote"/>
    <w:rsid w:val="006E4D6E"/>
    <w:rPr>
      <w:rFonts w:ascii="Times New Roman" w:hAnsi="Times New Roman"/>
      <w:color w:val="FF0000"/>
      <w:lang w:val="x-none" w:eastAsia="x-none"/>
    </w:rPr>
  </w:style>
  <w:style w:type="paragraph" w:customStyle="1" w:styleId="EmailDiscussion">
    <w:name w:val="EmailDiscussion"/>
    <w:basedOn w:val="Normal"/>
    <w:next w:val="Normal"/>
    <w:rsid w:val="006E4D6E"/>
    <w:pPr>
      <w:numPr>
        <w:numId w:val="14"/>
      </w:numPr>
      <w:spacing w:before="40" w:after="0"/>
    </w:pPr>
    <w:rPr>
      <w:rFonts w:ascii="Arial" w:eastAsia="MS Mincho" w:hAnsi="Arial"/>
      <w:b/>
      <w:szCs w:val="24"/>
      <w:lang w:eastAsia="en-GB"/>
    </w:rPr>
  </w:style>
  <w:style w:type="character" w:styleId="Emphasis">
    <w:name w:val="Emphasis"/>
    <w:qFormat/>
    <w:rsid w:val="006E4D6E"/>
    <w:rPr>
      <w:i/>
      <w:iCs/>
    </w:rPr>
  </w:style>
  <w:style w:type="paragraph" w:customStyle="1" w:styleId="FigureTitle">
    <w:name w:val="Figure_Title"/>
    <w:basedOn w:val="Normal"/>
    <w:next w:val="Normal"/>
    <w:rsid w:val="006E4D6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E4D6E"/>
    <w:rPr>
      <w:rFonts w:ascii="Arial" w:hAnsi="Arial"/>
      <w:b/>
      <w:noProof/>
      <w:sz w:val="18"/>
      <w:lang w:eastAsia="ja-JP"/>
    </w:rPr>
  </w:style>
  <w:style w:type="character" w:customStyle="1" w:styleId="FooterChar">
    <w:name w:val="Footer Char"/>
    <w:link w:val="Footer"/>
    <w:rsid w:val="006E4D6E"/>
    <w:rPr>
      <w:rFonts w:ascii="Arial" w:hAnsi="Arial"/>
      <w:b/>
      <w:i/>
      <w:noProof/>
      <w:sz w:val="18"/>
      <w:lang w:eastAsia="ja-JP"/>
    </w:rPr>
  </w:style>
  <w:style w:type="character" w:customStyle="1" w:styleId="FootnoteTextChar">
    <w:name w:val="Footnote Text Char"/>
    <w:link w:val="FootnoteText"/>
    <w:rsid w:val="006E4D6E"/>
    <w:rPr>
      <w:rFonts w:ascii="Times New Roman" w:hAnsi="Times New Roman"/>
      <w:sz w:val="16"/>
      <w:lang w:eastAsia="ja-JP"/>
    </w:rPr>
  </w:style>
  <w:style w:type="paragraph" w:customStyle="1" w:styleId="Guidance">
    <w:name w:val="Guidance"/>
    <w:basedOn w:val="Normal"/>
    <w:rsid w:val="006E4D6E"/>
    <w:rPr>
      <w:i/>
      <w:color w:val="0000FF"/>
    </w:rPr>
  </w:style>
  <w:style w:type="character" w:customStyle="1" w:styleId="Heading2Char">
    <w:name w:val="Heading 2 Char"/>
    <w:link w:val="Heading2"/>
    <w:rsid w:val="006E4D6E"/>
    <w:rPr>
      <w:rFonts w:ascii="Arial" w:hAnsi="Arial"/>
      <w:sz w:val="32"/>
      <w:lang w:eastAsia="ja-JP"/>
    </w:rPr>
  </w:style>
  <w:style w:type="character" w:customStyle="1" w:styleId="Heading3Char">
    <w:name w:val="Heading 3 Char"/>
    <w:link w:val="Heading3"/>
    <w:rsid w:val="006E4D6E"/>
    <w:rPr>
      <w:rFonts w:ascii="Arial" w:hAnsi="Arial"/>
      <w:sz w:val="28"/>
      <w:lang w:eastAsia="ja-JP"/>
    </w:rPr>
  </w:style>
  <w:style w:type="character" w:customStyle="1" w:styleId="Heading4Char">
    <w:name w:val="Heading 4 Char"/>
    <w:link w:val="Heading4"/>
    <w:rsid w:val="006E4D6E"/>
    <w:rPr>
      <w:rFonts w:ascii="Arial" w:hAnsi="Arial"/>
      <w:sz w:val="24"/>
      <w:lang w:eastAsia="ja-JP"/>
    </w:rPr>
  </w:style>
  <w:style w:type="character" w:customStyle="1" w:styleId="Heading5Char">
    <w:name w:val="Heading 5 Char"/>
    <w:link w:val="Heading5"/>
    <w:rsid w:val="006E4D6E"/>
    <w:rPr>
      <w:rFonts w:ascii="Arial" w:hAnsi="Arial"/>
      <w:sz w:val="22"/>
      <w:lang w:eastAsia="ja-JP"/>
    </w:rPr>
  </w:style>
  <w:style w:type="paragraph" w:customStyle="1" w:styleId="H6">
    <w:name w:val="H6"/>
    <w:basedOn w:val="Heading5"/>
    <w:next w:val="Normal"/>
    <w:rsid w:val="006E4D6E"/>
    <w:pPr>
      <w:ind w:left="1985" w:hanging="1985"/>
      <w:outlineLvl w:val="9"/>
    </w:pPr>
    <w:rPr>
      <w:sz w:val="20"/>
    </w:rPr>
  </w:style>
  <w:style w:type="character" w:customStyle="1" w:styleId="Heading6Char">
    <w:name w:val="Heading 6 Char"/>
    <w:link w:val="Heading6"/>
    <w:rsid w:val="006E4D6E"/>
    <w:rPr>
      <w:rFonts w:ascii="Arial" w:hAnsi="Arial"/>
      <w:lang w:eastAsia="ja-JP"/>
    </w:rPr>
  </w:style>
  <w:style w:type="character" w:customStyle="1" w:styleId="Heading7Char">
    <w:name w:val="Heading 7 Char"/>
    <w:link w:val="Heading7"/>
    <w:rsid w:val="006E4D6E"/>
    <w:rPr>
      <w:rFonts w:ascii="Arial" w:hAnsi="Arial"/>
      <w:lang w:eastAsia="ja-JP"/>
    </w:rPr>
  </w:style>
  <w:style w:type="character" w:customStyle="1" w:styleId="Heading8Char">
    <w:name w:val="Heading 8 Char"/>
    <w:link w:val="Heading8"/>
    <w:rsid w:val="006E4D6E"/>
    <w:rPr>
      <w:rFonts w:ascii="Arial" w:hAnsi="Arial"/>
      <w:sz w:val="36"/>
      <w:lang w:eastAsia="ja-JP"/>
    </w:rPr>
  </w:style>
  <w:style w:type="character" w:customStyle="1" w:styleId="Heading9Char">
    <w:name w:val="Heading 9 Char"/>
    <w:link w:val="Heading9"/>
    <w:rsid w:val="006E4D6E"/>
    <w:rPr>
      <w:rFonts w:ascii="Arial" w:hAnsi="Arial"/>
      <w:sz w:val="36"/>
      <w:lang w:eastAsia="ja-JP"/>
    </w:rPr>
  </w:style>
  <w:style w:type="character" w:styleId="HTMLCode">
    <w:name w:val="HTML Code"/>
    <w:uiPriority w:val="99"/>
    <w:unhideWhenUsed/>
    <w:rsid w:val="006E4D6E"/>
    <w:rPr>
      <w:rFonts w:ascii="Courier New" w:eastAsia="Times New Roman" w:hAnsi="Courier New" w:cs="Courier New"/>
      <w:sz w:val="20"/>
      <w:szCs w:val="20"/>
    </w:rPr>
  </w:style>
  <w:style w:type="paragraph" w:styleId="IndexHeading">
    <w:name w:val="index heading"/>
    <w:basedOn w:val="Normal"/>
    <w:next w:val="Normal"/>
    <w:rsid w:val="006E4D6E"/>
    <w:pPr>
      <w:pBdr>
        <w:top w:val="single" w:sz="12" w:space="0" w:color="auto"/>
      </w:pBdr>
      <w:spacing w:before="360" w:after="240"/>
    </w:pPr>
    <w:rPr>
      <w:b/>
      <w:i/>
      <w:sz w:val="26"/>
      <w:lang w:eastAsia="en-GB"/>
    </w:rPr>
  </w:style>
  <w:style w:type="paragraph" w:customStyle="1" w:styleId="LD">
    <w:name w:val="LD"/>
    <w:rsid w:val="006E4D6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E4D6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E4D6E"/>
    <w:rPr>
      <w:rFonts w:ascii="Calibri" w:eastAsia="Calibri" w:hAnsi="Calibri"/>
      <w:sz w:val="22"/>
      <w:szCs w:val="22"/>
      <w:lang w:val="x-none" w:eastAsia="en-US"/>
    </w:rPr>
  </w:style>
  <w:style w:type="paragraph" w:customStyle="1" w:styleId="NF">
    <w:name w:val="NF"/>
    <w:basedOn w:val="NO"/>
    <w:rsid w:val="006E4D6E"/>
    <w:pPr>
      <w:keepNext/>
      <w:spacing w:after="0"/>
    </w:pPr>
    <w:rPr>
      <w:rFonts w:ascii="Arial" w:hAnsi="Arial"/>
      <w:sz w:val="18"/>
    </w:rPr>
  </w:style>
  <w:style w:type="paragraph" w:customStyle="1" w:styleId="NW">
    <w:name w:val="NW"/>
    <w:basedOn w:val="NO"/>
    <w:rsid w:val="006E4D6E"/>
    <w:pPr>
      <w:spacing w:after="0"/>
    </w:pPr>
  </w:style>
  <w:style w:type="paragraph" w:customStyle="1" w:styleId="PL">
    <w:name w:val="PL"/>
    <w:link w:val="PLChar"/>
    <w:qFormat/>
    <w:rsid w:val="006E4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E4D6E"/>
    <w:rPr>
      <w:rFonts w:ascii="Courier New" w:eastAsia="Batang" w:hAnsi="Courier New"/>
      <w:noProof/>
      <w:sz w:val="16"/>
      <w:shd w:val="clear" w:color="auto" w:fill="E6E6E6"/>
      <w:lang w:eastAsia="sv-SE"/>
    </w:rPr>
  </w:style>
  <w:style w:type="paragraph" w:styleId="PlainText">
    <w:name w:val="Plain Text"/>
    <w:basedOn w:val="Normal"/>
    <w:link w:val="PlainTextChar"/>
    <w:rsid w:val="006E4D6E"/>
    <w:rPr>
      <w:rFonts w:ascii="Courier New" w:hAnsi="Courier New"/>
      <w:lang w:val="nb-NO"/>
    </w:rPr>
  </w:style>
  <w:style w:type="character" w:customStyle="1" w:styleId="PlainTextChar">
    <w:name w:val="Plain Text Char"/>
    <w:link w:val="PlainText"/>
    <w:rsid w:val="006E4D6E"/>
    <w:rPr>
      <w:rFonts w:ascii="Courier New" w:hAnsi="Courier New"/>
      <w:lang w:val="nb-NO" w:eastAsia="ja-JP"/>
    </w:rPr>
  </w:style>
  <w:style w:type="character" w:styleId="Strong">
    <w:name w:val="Strong"/>
    <w:uiPriority w:val="22"/>
    <w:qFormat/>
    <w:rsid w:val="006E4D6E"/>
    <w:rPr>
      <w:b/>
      <w:bCs/>
    </w:rPr>
  </w:style>
  <w:style w:type="table" w:styleId="TableGrid">
    <w:name w:val="Table Grid"/>
    <w:basedOn w:val="TableNormal"/>
    <w:uiPriority w:val="39"/>
    <w:rsid w:val="006E4D6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E4D6E"/>
    <w:rPr>
      <w:rFonts w:ascii="Arial" w:hAnsi="Arial"/>
      <w:sz w:val="18"/>
      <w:lang w:val="x-none" w:eastAsia="x-none"/>
    </w:rPr>
  </w:style>
  <w:style w:type="character" w:customStyle="1" w:styleId="TAHCar">
    <w:name w:val="TAH Car"/>
    <w:link w:val="TAH"/>
    <w:locked/>
    <w:rsid w:val="006E4D6E"/>
    <w:rPr>
      <w:rFonts w:ascii="Arial" w:hAnsi="Arial"/>
      <w:b/>
      <w:sz w:val="18"/>
      <w:lang w:val="x-none" w:eastAsia="x-none"/>
    </w:rPr>
  </w:style>
  <w:style w:type="character" w:customStyle="1" w:styleId="THChar">
    <w:name w:val="TH Char"/>
    <w:link w:val="TH"/>
    <w:rsid w:val="006E4D6E"/>
    <w:rPr>
      <w:rFonts w:ascii="Arial" w:hAnsi="Arial"/>
      <w:b/>
      <w:lang w:val="x-none" w:eastAsia="x-none"/>
    </w:rPr>
  </w:style>
  <w:style w:type="paragraph" w:customStyle="1" w:styleId="TAJ">
    <w:name w:val="TAJ"/>
    <w:basedOn w:val="TH"/>
    <w:rsid w:val="006E4D6E"/>
  </w:style>
  <w:style w:type="paragraph" w:customStyle="1" w:styleId="TALCharChar">
    <w:name w:val="TAL Char Char"/>
    <w:basedOn w:val="Normal"/>
    <w:link w:val="TALCharCharChar"/>
    <w:rsid w:val="006E4D6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E4D6E"/>
    <w:rPr>
      <w:rFonts w:ascii="Arial" w:eastAsia="Malgun Gothic" w:hAnsi="Arial"/>
      <w:sz w:val="18"/>
      <w:lang w:val="x-none" w:eastAsia="x-none"/>
    </w:rPr>
  </w:style>
  <w:style w:type="character" w:customStyle="1" w:styleId="TFChar">
    <w:name w:val="TF Char"/>
    <w:link w:val="TF"/>
    <w:rsid w:val="006E4D6E"/>
    <w:rPr>
      <w:rFonts w:ascii="Arial" w:hAnsi="Arial"/>
      <w:b/>
      <w:lang w:val="x-none" w:eastAsia="x-none"/>
    </w:rPr>
  </w:style>
  <w:style w:type="paragraph" w:styleId="ListContinue">
    <w:name w:val="List Continue"/>
    <w:basedOn w:val="Normal"/>
    <w:rsid w:val="006E4D6E"/>
    <w:pPr>
      <w:spacing w:after="120"/>
      <w:ind w:left="283"/>
      <w:contextualSpacing/>
    </w:pPr>
    <w:rPr>
      <w:rFonts w:ascii="Arial" w:hAnsi="Arial"/>
    </w:rPr>
  </w:style>
  <w:style w:type="paragraph" w:styleId="ListContinue2">
    <w:name w:val="List Continue 2"/>
    <w:basedOn w:val="Normal"/>
    <w:rsid w:val="006E4D6E"/>
    <w:pPr>
      <w:spacing w:after="120"/>
      <w:ind w:left="566"/>
      <w:contextualSpacing/>
    </w:pPr>
    <w:rPr>
      <w:rFonts w:ascii="Arial" w:hAnsi="Arial"/>
    </w:rPr>
  </w:style>
  <w:style w:type="paragraph" w:styleId="ListNumber3">
    <w:name w:val="List Number 3"/>
    <w:basedOn w:val="ListNumber2"/>
    <w:rsid w:val="006E4D6E"/>
    <w:pPr>
      <w:numPr>
        <w:numId w:val="10"/>
      </w:numPr>
      <w:contextualSpacing/>
    </w:pPr>
  </w:style>
  <w:style w:type="paragraph" w:customStyle="1" w:styleId="Agreement">
    <w:name w:val="Agreement"/>
    <w:basedOn w:val="Normal"/>
    <w:next w:val="Doc-text2"/>
    <w:qFormat/>
    <w:rsid w:val="007D71A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18546">
      <w:bodyDiv w:val="1"/>
      <w:marLeft w:val="0"/>
      <w:marRight w:val="0"/>
      <w:marTop w:val="0"/>
      <w:marBottom w:val="0"/>
      <w:divBdr>
        <w:top w:val="none" w:sz="0" w:space="0" w:color="auto"/>
        <w:left w:val="none" w:sz="0" w:space="0" w:color="auto"/>
        <w:bottom w:val="none" w:sz="0" w:space="0" w:color="auto"/>
        <w:right w:val="none" w:sz="0" w:space="0" w:color="auto"/>
      </w:divBdr>
    </w:div>
    <w:div w:id="484511699">
      <w:bodyDiv w:val="1"/>
      <w:marLeft w:val="0"/>
      <w:marRight w:val="0"/>
      <w:marTop w:val="0"/>
      <w:marBottom w:val="0"/>
      <w:divBdr>
        <w:top w:val="none" w:sz="0" w:space="0" w:color="auto"/>
        <w:left w:val="none" w:sz="0" w:space="0" w:color="auto"/>
        <w:bottom w:val="none" w:sz="0" w:space="0" w:color="auto"/>
        <w:right w:val="none" w:sz="0" w:space="0" w:color="auto"/>
      </w:divBdr>
    </w:div>
    <w:div w:id="670763557">
      <w:bodyDiv w:val="1"/>
      <w:marLeft w:val="0"/>
      <w:marRight w:val="0"/>
      <w:marTop w:val="0"/>
      <w:marBottom w:val="0"/>
      <w:divBdr>
        <w:top w:val="none" w:sz="0" w:space="0" w:color="auto"/>
        <w:left w:val="none" w:sz="0" w:space="0" w:color="auto"/>
        <w:bottom w:val="none" w:sz="0" w:space="0" w:color="auto"/>
        <w:right w:val="none" w:sz="0" w:space="0" w:color="auto"/>
      </w:divBdr>
    </w:div>
    <w:div w:id="703553347">
      <w:bodyDiv w:val="1"/>
      <w:marLeft w:val="0"/>
      <w:marRight w:val="0"/>
      <w:marTop w:val="0"/>
      <w:marBottom w:val="0"/>
      <w:divBdr>
        <w:top w:val="none" w:sz="0" w:space="0" w:color="auto"/>
        <w:left w:val="none" w:sz="0" w:space="0" w:color="auto"/>
        <w:bottom w:val="none" w:sz="0" w:space="0" w:color="auto"/>
        <w:right w:val="none" w:sz="0" w:space="0" w:color="auto"/>
      </w:divBdr>
    </w:div>
    <w:div w:id="1049259146">
      <w:bodyDiv w:val="1"/>
      <w:marLeft w:val="0"/>
      <w:marRight w:val="0"/>
      <w:marTop w:val="0"/>
      <w:marBottom w:val="0"/>
      <w:divBdr>
        <w:top w:val="none" w:sz="0" w:space="0" w:color="auto"/>
        <w:left w:val="none" w:sz="0" w:space="0" w:color="auto"/>
        <w:bottom w:val="none" w:sz="0" w:space="0" w:color="auto"/>
        <w:right w:val="none" w:sz="0" w:space="0" w:color="auto"/>
      </w:divBdr>
    </w:div>
    <w:div w:id="13589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20Athens/Contributions_NR/RAN1_100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D81EF-984A-4F1B-ACF0-B94F6C717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9b239327-9e80-40e4-b1b7-4394fed77a33"/>
    <ds:schemaRef ds:uri="http://schemas.openxmlformats.org/package/2006/metadata/core-properties"/>
    <ds:schemaRef ds:uri="2f282d3b-eb4a-4b09-b61f-b9593442e286"/>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B5D25E7-8404-4B07-A3F1-036A86E8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RAN1_100e_template</Template>
  <TotalTime>93</TotalTime>
  <Pages>3</Pages>
  <Words>881</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13</cp:revision>
  <cp:lastPrinted>2008-01-31T07:09:00Z</cp:lastPrinted>
  <dcterms:created xsi:type="dcterms:W3CDTF">2020-02-13T06:13:00Z</dcterms:created>
  <dcterms:modified xsi:type="dcterms:W3CDTF">2020-02-14T14:39:00Z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